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1D327" w14:textId="2F801C45" w:rsidR="001E3BCE" w:rsidRPr="004842FB" w:rsidRDefault="001E3BCE" w:rsidP="001E3BCE">
      <w:pPr>
        <w:widowControl/>
        <w:autoSpaceDE/>
        <w:adjustRightInd/>
        <w:jc w:val="left"/>
        <w:rPr>
          <w:rFonts w:ascii="Bookman Old Style" w:hAnsi="Bookman Old Style" w:cs="Arial"/>
          <w:bCs/>
        </w:rPr>
      </w:pPr>
      <w:r w:rsidRPr="004842FB">
        <w:rPr>
          <w:rFonts w:ascii="Bookman Old Style" w:hAnsi="Bookman Old Style" w:cs="Arial"/>
        </w:rPr>
        <w:t xml:space="preserve">              </w:t>
      </w:r>
      <w:r w:rsidRPr="004842FB">
        <w:rPr>
          <w:rFonts w:ascii="Bookman Old Style" w:hAnsi="Bookman Old Style" w:cs="Arial"/>
          <w:noProof/>
        </w:rPr>
        <w:drawing>
          <wp:inline distT="0" distB="0" distL="0" distR="0" wp14:anchorId="49C479E8" wp14:editId="11858B08">
            <wp:extent cx="466725" cy="800100"/>
            <wp:effectExtent l="0" t="0" r="9525" b="0"/>
            <wp:docPr id="2"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50FE71F5" w14:textId="77777777" w:rsidR="001E3BCE" w:rsidRPr="004842FB" w:rsidRDefault="001E3BCE" w:rsidP="001E3BCE">
      <w:pPr>
        <w:widowControl/>
        <w:autoSpaceDE/>
        <w:adjustRightInd/>
        <w:jc w:val="left"/>
        <w:rPr>
          <w:rFonts w:ascii="Bookman Old Style" w:hAnsi="Bookman Old Style" w:cs="Arial"/>
          <w:bCs/>
        </w:rPr>
      </w:pPr>
      <w:r w:rsidRPr="004842FB">
        <w:rPr>
          <w:rFonts w:ascii="Bookman Old Style" w:hAnsi="Bookman Old Style" w:cs="Arial"/>
          <w:bCs/>
        </w:rPr>
        <w:t>REPUBLIKA HRVATSKA</w:t>
      </w:r>
    </w:p>
    <w:p w14:paraId="4C66A855" w14:textId="77777777" w:rsidR="001E3BCE" w:rsidRPr="00FE12D2" w:rsidRDefault="001E3BCE" w:rsidP="001E3BCE">
      <w:pPr>
        <w:widowControl/>
        <w:pBdr>
          <w:bottom w:val="single" w:sz="4" w:space="1" w:color="auto"/>
        </w:pBdr>
        <w:autoSpaceDE/>
        <w:adjustRightInd/>
        <w:rPr>
          <w:rFonts w:ascii="Times New Roman" w:hAnsi="Times New Roman"/>
          <w:bCs/>
        </w:rPr>
      </w:pPr>
      <w:r w:rsidRPr="00FE12D2">
        <w:rPr>
          <w:rFonts w:ascii="Times New Roman" w:hAnsi="Times New Roman"/>
          <w:bCs/>
        </w:rPr>
        <w:t>DRŽAVNI URED ZA REVIZIJU</w:t>
      </w:r>
    </w:p>
    <w:p w14:paraId="1954A70A" w14:textId="0E49457E" w:rsidR="001E3BCE" w:rsidRPr="001C3A87" w:rsidRDefault="001E3BCE" w:rsidP="001E3BCE">
      <w:pPr>
        <w:pStyle w:val="Bezproreda"/>
        <w:jc w:val="both"/>
        <w:rPr>
          <w:rFonts w:ascii="Arial" w:hAnsi="Arial" w:cs="Arial"/>
          <w:sz w:val="24"/>
          <w:szCs w:val="24"/>
        </w:rPr>
      </w:pPr>
      <w:r w:rsidRPr="00CA357C">
        <w:rPr>
          <w:rFonts w:ascii="Arial" w:hAnsi="Arial" w:cs="Arial"/>
          <w:sz w:val="24"/>
          <w:szCs w:val="24"/>
        </w:rPr>
        <w:t xml:space="preserve">KLASA: </w:t>
      </w:r>
      <w:r w:rsidR="005E6366" w:rsidRPr="001C3A87">
        <w:rPr>
          <w:rFonts w:ascii="Arial" w:hAnsi="Arial" w:cs="Arial"/>
          <w:sz w:val="24"/>
          <w:szCs w:val="24"/>
        </w:rPr>
        <w:t>400-01/2</w:t>
      </w:r>
      <w:r w:rsidR="001C3A87" w:rsidRPr="001C3A87">
        <w:rPr>
          <w:rFonts w:ascii="Arial" w:hAnsi="Arial" w:cs="Arial"/>
          <w:sz w:val="24"/>
          <w:szCs w:val="24"/>
        </w:rPr>
        <w:t>4</w:t>
      </w:r>
      <w:r w:rsidR="005E6366" w:rsidRPr="001C3A87">
        <w:rPr>
          <w:rFonts w:ascii="Arial" w:hAnsi="Arial" w:cs="Arial"/>
          <w:sz w:val="24"/>
          <w:szCs w:val="24"/>
        </w:rPr>
        <w:t>-0</w:t>
      </w:r>
      <w:r w:rsidR="001C3A87" w:rsidRPr="001C3A87">
        <w:rPr>
          <w:rFonts w:ascii="Arial" w:hAnsi="Arial" w:cs="Arial"/>
          <w:sz w:val="24"/>
          <w:szCs w:val="24"/>
        </w:rPr>
        <w:t>2</w:t>
      </w:r>
      <w:r w:rsidR="004664E6" w:rsidRPr="001C3A87">
        <w:rPr>
          <w:rFonts w:ascii="Arial" w:hAnsi="Arial" w:cs="Arial"/>
          <w:sz w:val="24"/>
          <w:szCs w:val="24"/>
        </w:rPr>
        <w:t>/</w:t>
      </w:r>
      <w:r w:rsidR="001C3A87" w:rsidRPr="001C3A87">
        <w:rPr>
          <w:rFonts w:ascii="Arial" w:hAnsi="Arial" w:cs="Arial"/>
          <w:sz w:val="24"/>
          <w:szCs w:val="24"/>
        </w:rPr>
        <w:t>1</w:t>
      </w:r>
    </w:p>
    <w:p w14:paraId="5F98DC29" w14:textId="5ABDFFE5" w:rsidR="001E3BCE" w:rsidRPr="001C3A87" w:rsidRDefault="00243204" w:rsidP="001E3BCE">
      <w:pPr>
        <w:widowControl/>
        <w:autoSpaceDE/>
        <w:adjustRightInd/>
        <w:rPr>
          <w:rFonts w:cs="Arial"/>
        </w:rPr>
      </w:pPr>
      <w:r w:rsidRPr="001C3A87">
        <w:rPr>
          <w:rFonts w:cs="Arial"/>
        </w:rPr>
        <w:t>URBROJ: 613-01-01-2</w:t>
      </w:r>
      <w:r w:rsidR="001C3A87" w:rsidRPr="001C3A87">
        <w:rPr>
          <w:rFonts w:cs="Arial"/>
        </w:rPr>
        <w:t>4</w:t>
      </w:r>
      <w:r w:rsidR="004664E6" w:rsidRPr="001C3A87">
        <w:rPr>
          <w:rFonts w:cs="Arial"/>
        </w:rPr>
        <w:t>-1</w:t>
      </w:r>
    </w:p>
    <w:p w14:paraId="0642ED36" w14:textId="77777777" w:rsidR="001E3BCE" w:rsidRPr="001C3A87" w:rsidRDefault="001E3BCE" w:rsidP="001E3BCE">
      <w:pPr>
        <w:widowControl/>
        <w:autoSpaceDE/>
        <w:adjustRightInd/>
        <w:rPr>
          <w:rFonts w:cs="Arial"/>
        </w:rPr>
      </w:pPr>
    </w:p>
    <w:p w14:paraId="2D034CE0" w14:textId="77777777" w:rsidR="001E3BCE" w:rsidRPr="008C7C33" w:rsidRDefault="001E3BCE" w:rsidP="001E3BCE">
      <w:pPr>
        <w:widowControl/>
        <w:autoSpaceDE/>
        <w:adjustRightInd/>
        <w:rPr>
          <w:rFonts w:cs="Arial"/>
          <w:highlight w:val="yellow"/>
        </w:rPr>
      </w:pPr>
    </w:p>
    <w:p w14:paraId="72A907F6" w14:textId="77777777" w:rsidR="001E3BCE" w:rsidRPr="00CA357C" w:rsidRDefault="001E3BCE" w:rsidP="001E3BCE">
      <w:pPr>
        <w:rPr>
          <w:rFonts w:cs="Arial"/>
          <w:highlight w:val="yellow"/>
        </w:rPr>
      </w:pPr>
    </w:p>
    <w:p w14:paraId="486D79B4" w14:textId="227FC11E" w:rsidR="00D551D2" w:rsidRPr="00CA357C" w:rsidRDefault="00D551D2" w:rsidP="001E3BCE">
      <w:pPr>
        <w:rPr>
          <w:rFonts w:cs="Arial"/>
        </w:rPr>
      </w:pPr>
    </w:p>
    <w:p w14:paraId="2AE2BD4B" w14:textId="77777777" w:rsidR="00D551D2" w:rsidRPr="00CA357C" w:rsidRDefault="00D551D2" w:rsidP="001E3BCE">
      <w:pPr>
        <w:rPr>
          <w:rFonts w:cs="Arial"/>
          <w:highlight w:val="yellow"/>
        </w:rPr>
      </w:pPr>
    </w:p>
    <w:p w14:paraId="5784A3FC" w14:textId="77777777" w:rsidR="00D551D2" w:rsidRPr="00CA357C" w:rsidRDefault="00D551D2" w:rsidP="001E3BCE">
      <w:pPr>
        <w:rPr>
          <w:rFonts w:cs="Arial"/>
          <w:highlight w:val="yellow"/>
        </w:rPr>
      </w:pPr>
    </w:p>
    <w:p w14:paraId="1693EE2A" w14:textId="77777777" w:rsidR="00D551D2" w:rsidRPr="00CA357C" w:rsidRDefault="00D551D2" w:rsidP="001E3BCE">
      <w:pPr>
        <w:rPr>
          <w:rFonts w:cs="Arial"/>
          <w:highlight w:val="yellow"/>
        </w:rPr>
      </w:pPr>
    </w:p>
    <w:p w14:paraId="44247F26" w14:textId="77777777" w:rsidR="00D551D2" w:rsidRPr="00CA357C" w:rsidRDefault="00D551D2" w:rsidP="001E3BCE">
      <w:pPr>
        <w:rPr>
          <w:rFonts w:cs="Arial"/>
          <w:highlight w:val="yellow"/>
        </w:rPr>
      </w:pPr>
    </w:p>
    <w:p w14:paraId="472EAFFE" w14:textId="77777777" w:rsidR="00D551D2" w:rsidRPr="00CA357C" w:rsidRDefault="00D551D2" w:rsidP="001E3BCE">
      <w:pPr>
        <w:rPr>
          <w:rFonts w:cs="Arial"/>
          <w:highlight w:val="yellow"/>
        </w:rPr>
      </w:pPr>
    </w:p>
    <w:p w14:paraId="65227F49" w14:textId="77777777" w:rsidR="00D551D2" w:rsidRPr="00CA357C" w:rsidRDefault="00D551D2" w:rsidP="001E3BCE">
      <w:pPr>
        <w:rPr>
          <w:rFonts w:cs="Arial"/>
          <w:highlight w:val="yellow"/>
        </w:rPr>
      </w:pPr>
    </w:p>
    <w:p w14:paraId="7779EF74" w14:textId="77777777" w:rsidR="00D551D2" w:rsidRPr="00CA357C" w:rsidRDefault="00D551D2" w:rsidP="001E3BCE">
      <w:pPr>
        <w:rPr>
          <w:rFonts w:cs="Arial"/>
          <w:highlight w:val="yellow"/>
        </w:rPr>
      </w:pPr>
    </w:p>
    <w:p w14:paraId="1BE4307A" w14:textId="77777777" w:rsidR="00D551D2" w:rsidRPr="00CA357C" w:rsidRDefault="00D551D2" w:rsidP="001E3BCE">
      <w:pPr>
        <w:rPr>
          <w:rFonts w:cs="Arial"/>
          <w:highlight w:val="yellow"/>
        </w:rPr>
      </w:pPr>
    </w:p>
    <w:p w14:paraId="1C246B33" w14:textId="77777777" w:rsidR="00D551D2" w:rsidRPr="00CA357C" w:rsidRDefault="00D551D2" w:rsidP="001E3BCE">
      <w:pPr>
        <w:rPr>
          <w:rFonts w:cs="Arial"/>
          <w:highlight w:val="yellow"/>
        </w:rPr>
      </w:pPr>
    </w:p>
    <w:p w14:paraId="3C3143D1" w14:textId="77777777" w:rsidR="00D551D2" w:rsidRPr="00CA357C" w:rsidRDefault="00D551D2" w:rsidP="001E3BCE">
      <w:pPr>
        <w:rPr>
          <w:rFonts w:cs="Arial"/>
          <w:highlight w:val="yellow"/>
        </w:rPr>
      </w:pPr>
    </w:p>
    <w:p w14:paraId="49037CEC" w14:textId="77777777" w:rsidR="00D551D2" w:rsidRPr="00CA357C" w:rsidRDefault="00D551D2" w:rsidP="001E3BCE">
      <w:pPr>
        <w:rPr>
          <w:rFonts w:cs="Arial"/>
          <w:highlight w:val="yellow"/>
        </w:rPr>
      </w:pPr>
    </w:p>
    <w:p w14:paraId="25DC34F7" w14:textId="77777777" w:rsidR="00D551D2" w:rsidRPr="00CA357C" w:rsidRDefault="00D551D2" w:rsidP="001E3BCE">
      <w:pPr>
        <w:rPr>
          <w:rFonts w:cs="Arial"/>
          <w:highlight w:val="yellow"/>
        </w:rPr>
      </w:pPr>
    </w:p>
    <w:p w14:paraId="355599E2" w14:textId="7B3C244F" w:rsidR="000605F3" w:rsidRPr="00EE1B64" w:rsidRDefault="00DD0BAB" w:rsidP="000605F3">
      <w:pPr>
        <w:spacing w:line="360" w:lineRule="auto"/>
        <w:jc w:val="center"/>
        <w:rPr>
          <w:rFonts w:cs="Arial"/>
          <w:b/>
        </w:rPr>
      </w:pPr>
      <w:r w:rsidRPr="00EE1B64">
        <w:rPr>
          <w:rFonts w:cs="Arial"/>
          <w:b/>
        </w:rPr>
        <w:t xml:space="preserve">GODIŠNJI IZVJEŠTAJ O </w:t>
      </w:r>
      <w:r w:rsidR="000605F3" w:rsidRPr="00EE1B64">
        <w:rPr>
          <w:rFonts w:cs="Arial"/>
          <w:b/>
        </w:rPr>
        <w:t xml:space="preserve">IZVRŠENJU FINANCIJSKOG PLANA </w:t>
      </w:r>
    </w:p>
    <w:p w14:paraId="77B3799C" w14:textId="39AF4D79" w:rsidR="00D551D2" w:rsidRPr="00CA357C" w:rsidRDefault="000605F3" w:rsidP="000605F3">
      <w:pPr>
        <w:spacing w:line="360" w:lineRule="auto"/>
        <w:jc w:val="center"/>
        <w:rPr>
          <w:rFonts w:cs="Arial"/>
          <w:b/>
        </w:rPr>
      </w:pPr>
      <w:r w:rsidRPr="00EE1B64">
        <w:rPr>
          <w:rFonts w:cs="Arial"/>
          <w:b/>
        </w:rPr>
        <w:t>DRŽAVNOG UREDA ZA REVIZIJU ZA 2023.</w:t>
      </w:r>
    </w:p>
    <w:p w14:paraId="3B4D4DEF" w14:textId="77777777" w:rsidR="00D551D2" w:rsidRPr="00CA357C" w:rsidRDefault="00D551D2" w:rsidP="000605F3">
      <w:pPr>
        <w:spacing w:line="360" w:lineRule="auto"/>
        <w:rPr>
          <w:rFonts w:cs="Arial"/>
        </w:rPr>
      </w:pPr>
    </w:p>
    <w:p w14:paraId="1FB391D5" w14:textId="77777777" w:rsidR="00D551D2" w:rsidRPr="00CA357C" w:rsidRDefault="00D551D2" w:rsidP="001E3BCE">
      <w:pPr>
        <w:rPr>
          <w:rFonts w:cs="Arial"/>
        </w:rPr>
      </w:pPr>
    </w:p>
    <w:p w14:paraId="46EE6136" w14:textId="77777777" w:rsidR="00D551D2" w:rsidRPr="00CA357C" w:rsidRDefault="00D551D2" w:rsidP="001E3BCE">
      <w:pPr>
        <w:rPr>
          <w:rFonts w:cs="Arial"/>
        </w:rPr>
      </w:pPr>
    </w:p>
    <w:p w14:paraId="42141D5F" w14:textId="77777777" w:rsidR="00D551D2" w:rsidRPr="00CA357C" w:rsidRDefault="00D551D2" w:rsidP="001E3BCE">
      <w:pPr>
        <w:rPr>
          <w:rFonts w:cs="Arial"/>
        </w:rPr>
      </w:pPr>
    </w:p>
    <w:p w14:paraId="18B7ADAA" w14:textId="77777777" w:rsidR="00D551D2" w:rsidRPr="00CA357C" w:rsidRDefault="00D551D2" w:rsidP="001E3BCE">
      <w:pPr>
        <w:rPr>
          <w:rFonts w:cs="Arial"/>
        </w:rPr>
      </w:pPr>
    </w:p>
    <w:p w14:paraId="598E18AA" w14:textId="77777777" w:rsidR="00D551D2" w:rsidRPr="00CA357C" w:rsidRDefault="00D551D2" w:rsidP="001E3BCE">
      <w:pPr>
        <w:rPr>
          <w:rFonts w:cs="Arial"/>
        </w:rPr>
      </w:pPr>
    </w:p>
    <w:p w14:paraId="3B551DA8" w14:textId="77777777" w:rsidR="00D551D2" w:rsidRPr="00CA357C" w:rsidRDefault="00D551D2" w:rsidP="001E3BCE">
      <w:pPr>
        <w:rPr>
          <w:rFonts w:cs="Arial"/>
        </w:rPr>
      </w:pPr>
    </w:p>
    <w:p w14:paraId="4B5F7F16" w14:textId="77777777" w:rsidR="00D551D2" w:rsidRPr="00CA357C" w:rsidRDefault="00D551D2" w:rsidP="001E3BCE">
      <w:pPr>
        <w:rPr>
          <w:rFonts w:cs="Arial"/>
        </w:rPr>
      </w:pPr>
    </w:p>
    <w:p w14:paraId="299B4CA7" w14:textId="77777777" w:rsidR="00D551D2" w:rsidRPr="00CA357C" w:rsidRDefault="00D551D2" w:rsidP="001E3BCE">
      <w:pPr>
        <w:rPr>
          <w:rFonts w:cs="Arial"/>
        </w:rPr>
      </w:pPr>
    </w:p>
    <w:p w14:paraId="45D87E75" w14:textId="77777777" w:rsidR="00D551D2" w:rsidRPr="00CA357C" w:rsidRDefault="00D551D2" w:rsidP="001E3BCE">
      <w:pPr>
        <w:rPr>
          <w:rFonts w:cs="Arial"/>
        </w:rPr>
      </w:pPr>
    </w:p>
    <w:p w14:paraId="1D78158A" w14:textId="77777777" w:rsidR="00D551D2" w:rsidRPr="00CA357C" w:rsidRDefault="00D551D2" w:rsidP="001E3BCE">
      <w:pPr>
        <w:rPr>
          <w:rFonts w:cs="Arial"/>
        </w:rPr>
      </w:pPr>
    </w:p>
    <w:p w14:paraId="22DF0A1A" w14:textId="77777777" w:rsidR="00D551D2" w:rsidRPr="00CA357C" w:rsidRDefault="00D551D2" w:rsidP="001E3BCE">
      <w:pPr>
        <w:rPr>
          <w:rFonts w:cs="Arial"/>
        </w:rPr>
      </w:pPr>
    </w:p>
    <w:p w14:paraId="61935F69" w14:textId="77777777" w:rsidR="00D551D2" w:rsidRPr="00CA357C" w:rsidRDefault="00D551D2" w:rsidP="001E3BCE">
      <w:pPr>
        <w:rPr>
          <w:rFonts w:cs="Arial"/>
        </w:rPr>
      </w:pPr>
    </w:p>
    <w:p w14:paraId="6DC0226C" w14:textId="77777777" w:rsidR="00D551D2" w:rsidRPr="00CA357C" w:rsidRDefault="00D551D2" w:rsidP="001E3BCE">
      <w:pPr>
        <w:rPr>
          <w:rFonts w:cs="Arial"/>
        </w:rPr>
      </w:pPr>
    </w:p>
    <w:p w14:paraId="7EF57CEC" w14:textId="77777777" w:rsidR="00D551D2" w:rsidRPr="00CA357C" w:rsidRDefault="00D551D2" w:rsidP="001E3BCE">
      <w:pPr>
        <w:rPr>
          <w:rFonts w:cs="Arial"/>
        </w:rPr>
      </w:pPr>
    </w:p>
    <w:p w14:paraId="2AC654F5" w14:textId="77777777" w:rsidR="00D551D2" w:rsidRPr="00CA357C" w:rsidRDefault="00D551D2" w:rsidP="001E3BCE">
      <w:pPr>
        <w:rPr>
          <w:rFonts w:cs="Arial"/>
        </w:rPr>
      </w:pPr>
    </w:p>
    <w:p w14:paraId="15B61226" w14:textId="77777777" w:rsidR="00D551D2" w:rsidRPr="00CA357C" w:rsidRDefault="00D551D2" w:rsidP="001E3BCE">
      <w:pPr>
        <w:rPr>
          <w:rFonts w:cs="Arial"/>
        </w:rPr>
      </w:pPr>
    </w:p>
    <w:p w14:paraId="04E2F8CD" w14:textId="77777777" w:rsidR="006417D3" w:rsidRPr="00CA357C" w:rsidRDefault="006417D3" w:rsidP="001E3BCE">
      <w:pPr>
        <w:rPr>
          <w:rFonts w:cs="Arial"/>
        </w:rPr>
      </w:pPr>
    </w:p>
    <w:p w14:paraId="126F7E68" w14:textId="77777777" w:rsidR="006417D3" w:rsidRPr="00CA357C" w:rsidRDefault="006417D3" w:rsidP="001E3BCE">
      <w:pPr>
        <w:rPr>
          <w:rFonts w:cs="Arial"/>
        </w:rPr>
      </w:pPr>
    </w:p>
    <w:p w14:paraId="5A511C85" w14:textId="77777777" w:rsidR="00D551D2" w:rsidRPr="00CA357C" w:rsidRDefault="00D551D2" w:rsidP="001E3BCE">
      <w:pPr>
        <w:rPr>
          <w:rFonts w:cs="Arial"/>
        </w:rPr>
      </w:pPr>
    </w:p>
    <w:p w14:paraId="048BC0BA" w14:textId="17B456EA" w:rsidR="00BD6578" w:rsidRPr="00CA357C" w:rsidRDefault="008C6767" w:rsidP="00423243">
      <w:pPr>
        <w:jc w:val="center"/>
        <w:rPr>
          <w:rFonts w:cs="Arial"/>
        </w:rPr>
      </w:pPr>
      <w:r w:rsidRPr="00CA357C">
        <w:rPr>
          <w:rFonts w:cs="Arial"/>
        </w:rPr>
        <w:t xml:space="preserve">Zagreb, </w:t>
      </w:r>
      <w:r w:rsidR="008C7C33">
        <w:rPr>
          <w:rFonts w:cs="Arial"/>
        </w:rPr>
        <w:t>ožujak 2024</w:t>
      </w:r>
      <w:r w:rsidR="00C275C0" w:rsidRPr="00CA357C">
        <w:rPr>
          <w:rFonts w:cs="Arial"/>
        </w:rPr>
        <w:t>.</w:t>
      </w:r>
    </w:p>
    <w:p w14:paraId="53C75E06" w14:textId="77777777" w:rsidR="007C4394" w:rsidRPr="00CA357C" w:rsidRDefault="007C4394" w:rsidP="00423243">
      <w:pPr>
        <w:jc w:val="center"/>
        <w:rPr>
          <w:rFonts w:cs="Arial"/>
        </w:rPr>
        <w:sectPr w:rsidR="007C4394" w:rsidRPr="00CA357C" w:rsidSect="009461FD">
          <w:headerReference w:type="first" r:id="rId9"/>
          <w:footerReference w:type="first" r:id="rId10"/>
          <w:pgSz w:w="11906" w:h="16838" w:code="9"/>
          <w:pgMar w:top="1134" w:right="1134" w:bottom="1134" w:left="1134" w:header="567" w:footer="567" w:gutter="0"/>
          <w:pgNumType w:start="1" w:chapStyle="1"/>
          <w:cols w:space="708"/>
          <w:docGrid w:linePitch="360"/>
        </w:sectPr>
      </w:pPr>
    </w:p>
    <w:sdt>
      <w:sdtPr>
        <w:rPr>
          <w:rFonts w:ascii="Arial" w:eastAsia="Times New Roman" w:hAnsi="Arial" w:cs="Arial"/>
          <w:color w:val="auto"/>
          <w:sz w:val="24"/>
          <w:szCs w:val="24"/>
        </w:rPr>
        <w:id w:val="814457891"/>
        <w:docPartObj>
          <w:docPartGallery w:val="Table of Contents"/>
          <w:docPartUnique/>
        </w:docPartObj>
      </w:sdtPr>
      <w:sdtEndPr>
        <w:rPr>
          <w:b/>
          <w:bCs/>
          <w:noProof/>
        </w:rPr>
      </w:sdtEndPr>
      <w:sdtContent>
        <w:p w14:paraId="226EED70" w14:textId="2C74D811" w:rsidR="007C4394" w:rsidRPr="00EA44BF" w:rsidRDefault="001240F0" w:rsidP="00E86D4B">
          <w:pPr>
            <w:pStyle w:val="TOCNaslov"/>
            <w:ind w:right="-427"/>
            <w:rPr>
              <w:rFonts w:ascii="Arial" w:hAnsi="Arial" w:cs="Arial"/>
              <w:sz w:val="24"/>
              <w:szCs w:val="24"/>
            </w:rPr>
          </w:pPr>
          <w:r w:rsidRPr="00EA44BF">
            <w:rPr>
              <w:rFonts w:ascii="Arial" w:hAnsi="Arial" w:cs="Arial"/>
              <w:sz w:val="24"/>
              <w:szCs w:val="24"/>
            </w:rPr>
            <w:t>Sadržaj</w:t>
          </w:r>
        </w:p>
        <w:p w14:paraId="1B866B0A" w14:textId="1618D9DF" w:rsidR="00E86D4B" w:rsidRDefault="007C4394">
          <w:pPr>
            <w:pStyle w:val="Sadraj1"/>
            <w:rPr>
              <w:rFonts w:cstheme="minorBidi"/>
              <w:noProof/>
            </w:rPr>
          </w:pPr>
          <w:r w:rsidRPr="00CC373D">
            <w:rPr>
              <w:rFonts w:ascii="Arial" w:hAnsi="Arial" w:cs="Arial"/>
              <w:sz w:val="24"/>
              <w:szCs w:val="24"/>
            </w:rPr>
            <w:fldChar w:fldCharType="begin"/>
          </w:r>
          <w:r w:rsidRPr="00CC373D">
            <w:rPr>
              <w:rFonts w:ascii="Arial" w:hAnsi="Arial" w:cs="Arial"/>
              <w:sz w:val="24"/>
              <w:szCs w:val="24"/>
            </w:rPr>
            <w:instrText xml:space="preserve"> TOC \o "1-3" \h \z \u </w:instrText>
          </w:r>
          <w:r w:rsidRPr="00CC373D">
            <w:rPr>
              <w:rFonts w:ascii="Arial" w:hAnsi="Arial" w:cs="Arial"/>
              <w:sz w:val="24"/>
              <w:szCs w:val="24"/>
            </w:rPr>
            <w:fldChar w:fldCharType="separate"/>
          </w:r>
          <w:hyperlink w:anchor="_Toc162444737" w:history="1">
            <w:r w:rsidR="00E86D4B" w:rsidRPr="00B50469">
              <w:rPr>
                <w:rStyle w:val="Hiperveza"/>
                <w:rFonts w:ascii="Arial" w:hAnsi="Arial" w:cs="Arial"/>
                <w:b/>
                <w:bCs/>
                <w:noProof/>
              </w:rPr>
              <w:t>1.</w:t>
            </w:r>
            <w:r w:rsidR="00E86D4B">
              <w:rPr>
                <w:rFonts w:cstheme="minorBidi"/>
                <w:noProof/>
              </w:rPr>
              <w:tab/>
            </w:r>
            <w:r w:rsidR="00E86D4B" w:rsidRPr="00B50469">
              <w:rPr>
                <w:rStyle w:val="Hiperveza"/>
                <w:rFonts w:ascii="Arial" w:hAnsi="Arial" w:cs="Arial"/>
                <w:b/>
                <w:bCs/>
                <w:noProof/>
              </w:rPr>
              <w:t>Uvod</w:t>
            </w:r>
            <w:r w:rsidR="00E86D4B">
              <w:rPr>
                <w:noProof/>
                <w:webHidden/>
              </w:rPr>
              <w:tab/>
            </w:r>
            <w:r w:rsidR="00E86D4B" w:rsidRPr="00E86D4B">
              <w:rPr>
                <w:rFonts w:ascii="Arial" w:hAnsi="Arial" w:cs="Arial"/>
                <w:noProof/>
                <w:webHidden/>
                <w:sz w:val="24"/>
                <w:szCs w:val="24"/>
              </w:rPr>
              <w:fldChar w:fldCharType="begin"/>
            </w:r>
            <w:r w:rsidR="00E86D4B" w:rsidRPr="00E86D4B">
              <w:rPr>
                <w:rFonts w:ascii="Arial" w:hAnsi="Arial" w:cs="Arial"/>
                <w:noProof/>
                <w:webHidden/>
                <w:sz w:val="24"/>
                <w:szCs w:val="24"/>
              </w:rPr>
              <w:instrText xml:space="preserve"> PAGEREF _Toc162444737 \h </w:instrText>
            </w:r>
            <w:r w:rsidR="00E86D4B" w:rsidRPr="00E86D4B">
              <w:rPr>
                <w:rFonts w:ascii="Arial" w:hAnsi="Arial" w:cs="Arial"/>
                <w:noProof/>
                <w:webHidden/>
                <w:sz w:val="24"/>
                <w:szCs w:val="24"/>
              </w:rPr>
            </w:r>
            <w:r w:rsidR="00E86D4B" w:rsidRPr="00E86D4B">
              <w:rPr>
                <w:rFonts w:ascii="Arial" w:hAnsi="Arial" w:cs="Arial"/>
                <w:noProof/>
                <w:webHidden/>
                <w:sz w:val="24"/>
                <w:szCs w:val="24"/>
              </w:rPr>
              <w:fldChar w:fldCharType="separate"/>
            </w:r>
            <w:r w:rsidR="00E86D4B" w:rsidRPr="00E86D4B">
              <w:rPr>
                <w:rFonts w:ascii="Arial" w:hAnsi="Arial" w:cs="Arial"/>
                <w:noProof/>
                <w:webHidden/>
                <w:sz w:val="24"/>
                <w:szCs w:val="24"/>
              </w:rPr>
              <w:t>2</w:t>
            </w:r>
            <w:r w:rsidR="00E86D4B" w:rsidRPr="00E86D4B">
              <w:rPr>
                <w:rFonts w:ascii="Arial" w:hAnsi="Arial" w:cs="Arial"/>
                <w:noProof/>
                <w:webHidden/>
                <w:sz w:val="24"/>
                <w:szCs w:val="24"/>
              </w:rPr>
              <w:fldChar w:fldCharType="end"/>
            </w:r>
          </w:hyperlink>
        </w:p>
        <w:p w14:paraId="0EC52538" w14:textId="7EA2B807" w:rsidR="00E86D4B" w:rsidRDefault="008B3043">
          <w:pPr>
            <w:pStyle w:val="Sadraj1"/>
            <w:rPr>
              <w:rFonts w:cstheme="minorBidi"/>
              <w:noProof/>
            </w:rPr>
          </w:pPr>
          <w:hyperlink w:anchor="_Toc162444738" w:history="1">
            <w:r w:rsidR="00E86D4B" w:rsidRPr="00B50469">
              <w:rPr>
                <w:rStyle w:val="Hiperveza"/>
                <w:rFonts w:ascii="Arial" w:hAnsi="Arial" w:cs="Arial"/>
                <w:b/>
                <w:noProof/>
              </w:rPr>
              <w:t>2.</w:t>
            </w:r>
            <w:r w:rsidR="00E86D4B">
              <w:rPr>
                <w:rFonts w:cstheme="minorBidi"/>
                <w:noProof/>
              </w:rPr>
              <w:tab/>
            </w:r>
            <w:r w:rsidR="00E86D4B" w:rsidRPr="00B50469">
              <w:rPr>
                <w:rStyle w:val="Hiperveza"/>
                <w:rFonts w:ascii="Arial" w:hAnsi="Arial" w:cs="Arial"/>
                <w:b/>
                <w:noProof/>
              </w:rPr>
              <w:t>Godišnji izvještaj o izvršenju financijskog plana</w:t>
            </w:r>
            <w:r w:rsidR="00E86D4B">
              <w:rPr>
                <w:noProof/>
                <w:webHidden/>
              </w:rPr>
              <w:tab/>
            </w:r>
            <w:r w:rsidR="00E86D4B" w:rsidRPr="00E86D4B">
              <w:rPr>
                <w:rFonts w:ascii="Arial" w:hAnsi="Arial" w:cs="Arial"/>
                <w:noProof/>
                <w:webHidden/>
                <w:sz w:val="24"/>
                <w:szCs w:val="24"/>
              </w:rPr>
              <w:fldChar w:fldCharType="begin"/>
            </w:r>
            <w:r w:rsidR="00E86D4B" w:rsidRPr="00E86D4B">
              <w:rPr>
                <w:rFonts w:ascii="Arial" w:hAnsi="Arial" w:cs="Arial"/>
                <w:noProof/>
                <w:webHidden/>
                <w:sz w:val="24"/>
                <w:szCs w:val="24"/>
              </w:rPr>
              <w:instrText xml:space="preserve"> PAGEREF _Toc162444738 \h </w:instrText>
            </w:r>
            <w:r w:rsidR="00E86D4B" w:rsidRPr="00E86D4B">
              <w:rPr>
                <w:rFonts w:ascii="Arial" w:hAnsi="Arial" w:cs="Arial"/>
                <w:noProof/>
                <w:webHidden/>
                <w:sz w:val="24"/>
                <w:szCs w:val="24"/>
              </w:rPr>
            </w:r>
            <w:r w:rsidR="00E86D4B" w:rsidRPr="00E86D4B">
              <w:rPr>
                <w:rFonts w:ascii="Arial" w:hAnsi="Arial" w:cs="Arial"/>
                <w:noProof/>
                <w:webHidden/>
                <w:sz w:val="24"/>
                <w:szCs w:val="24"/>
              </w:rPr>
              <w:fldChar w:fldCharType="separate"/>
            </w:r>
            <w:r w:rsidR="00E86D4B" w:rsidRPr="00E86D4B">
              <w:rPr>
                <w:rFonts w:ascii="Arial" w:hAnsi="Arial" w:cs="Arial"/>
                <w:noProof/>
                <w:webHidden/>
                <w:sz w:val="24"/>
                <w:szCs w:val="24"/>
              </w:rPr>
              <w:t>2</w:t>
            </w:r>
            <w:r w:rsidR="00E86D4B" w:rsidRPr="00E86D4B">
              <w:rPr>
                <w:rFonts w:ascii="Arial" w:hAnsi="Arial" w:cs="Arial"/>
                <w:noProof/>
                <w:webHidden/>
                <w:sz w:val="24"/>
                <w:szCs w:val="24"/>
              </w:rPr>
              <w:fldChar w:fldCharType="end"/>
            </w:r>
          </w:hyperlink>
        </w:p>
        <w:p w14:paraId="3C318CDE" w14:textId="6BF7A4C5" w:rsidR="00E86D4B" w:rsidRDefault="008B3043">
          <w:pPr>
            <w:pStyle w:val="Sadraj2"/>
            <w:tabs>
              <w:tab w:val="left" w:pos="1134"/>
            </w:tabs>
            <w:rPr>
              <w:rFonts w:asciiTheme="minorHAnsi" w:eastAsiaTheme="minorEastAsia" w:hAnsiTheme="minorHAnsi" w:cstheme="minorBidi"/>
              <w:noProof/>
              <w:sz w:val="22"/>
              <w:szCs w:val="22"/>
            </w:rPr>
          </w:pPr>
          <w:hyperlink w:anchor="_Toc162444739" w:history="1">
            <w:r w:rsidR="00E86D4B" w:rsidRPr="00B50469">
              <w:rPr>
                <w:rStyle w:val="Hiperveza"/>
                <w:rFonts w:cs="Arial"/>
                <w:b/>
                <w:noProof/>
              </w:rPr>
              <w:t>2.1.</w:t>
            </w:r>
            <w:r w:rsidR="00E86D4B">
              <w:rPr>
                <w:rFonts w:asciiTheme="minorHAnsi" w:eastAsiaTheme="minorEastAsia" w:hAnsiTheme="minorHAnsi" w:cstheme="minorBidi"/>
                <w:noProof/>
                <w:sz w:val="22"/>
                <w:szCs w:val="22"/>
              </w:rPr>
              <w:tab/>
            </w:r>
            <w:r w:rsidR="00E86D4B" w:rsidRPr="00B50469">
              <w:rPr>
                <w:rStyle w:val="Hiperveza"/>
                <w:rFonts w:cs="Arial"/>
                <w:b/>
                <w:noProof/>
              </w:rPr>
              <w:t>Opći dio godišnjeg izvještaja o izvršenju financijskog plana</w:t>
            </w:r>
            <w:r w:rsidR="00E86D4B">
              <w:rPr>
                <w:noProof/>
                <w:webHidden/>
              </w:rPr>
              <w:tab/>
            </w:r>
            <w:r w:rsidR="00E86D4B">
              <w:rPr>
                <w:noProof/>
                <w:webHidden/>
              </w:rPr>
              <w:fldChar w:fldCharType="begin"/>
            </w:r>
            <w:r w:rsidR="00E86D4B">
              <w:rPr>
                <w:noProof/>
                <w:webHidden/>
              </w:rPr>
              <w:instrText xml:space="preserve"> PAGEREF _Toc162444739 \h </w:instrText>
            </w:r>
            <w:r w:rsidR="00E86D4B">
              <w:rPr>
                <w:noProof/>
                <w:webHidden/>
              </w:rPr>
            </w:r>
            <w:r w:rsidR="00E86D4B">
              <w:rPr>
                <w:noProof/>
                <w:webHidden/>
              </w:rPr>
              <w:fldChar w:fldCharType="separate"/>
            </w:r>
            <w:r w:rsidR="00E86D4B">
              <w:rPr>
                <w:noProof/>
                <w:webHidden/>
              </w:rPr>
              <w:t>2</w:t>
            </w:r>
            <w:r w:rsidR="00E86D4B">
              <w:rPr>
                <w:noProof/>
                <w:webHidden/>
              </w:rPr>
              <w:fldChar w:fldCharType="end"/>
            </w:r>
          </w:hyperlink>
        </w:p>
        <w:p w14:paraId="53F5EAFA" w14:textId="630F7DCE" w:rsidR="00E86D4B" w:rsidRDefault="008B3043">
          <w:pPr>
            <w:pStyle w:val="Sadraj2"/>
            <w:tabs>
              <w:tab w:val="left" w:pos="1134"/>
            </w:tabs>
            <w:rPr>
              <w:rFonts w:asciiTheme="minorHAnsi" w:eastAsiaTheme="minorEastAsia" w:hAnsiTheme="minorHAnsi" w:cstheme="minorBidi"/>
              <w:noProof/>
              <w:sz w:val="22"/>
              <w:szCs w:val="22"/>
            </w:rPr>
          </w:pPr>
          <w:hyperlink w:anchor="_Toc162444740" w:history="1">
            <w:r w:rsidR="00E86D4B" w:rsidRPr="00B50469">
              <w:rPr>
                <w:rStyle w:val="Hiperveza"/>
                <w:rFonts w:cs="Arial"/>
                <w:b/>
                <w:noProof/>
              </w:rPr>
              <w:t>2.2.</w:t>
            </w:r>
            <w:r w:rsidR="00E86D4B">
              <w:rPr>
                <w:rFonts w:asciiTheme="minorHAnsi" w:eastAsiaTheme="minorEastAsia" w:hAnsiTheme="minorHAnsi" w:cstheme="minorBidi"/>
                <w:noProof/>
                <w:sz w:val="22"/>
                <w:szCs w:val="22"/>
              </w:rPr>
              <w:tab/>
            </w:r>
            <w:r w:rsidR="00E86D4B" w:rsidRPr="00B50469">
              <w:rPr>
                <w:rStyle w:val="Hiperveza"/>
                <w:rFonts w:cs="Arial"/>
                <w:b/>
                <w:noProof/>
              </w:rPr>
              <w:t>Posebni dio godišnjeg izvještaja o izvršenju financijskog plana</w:t>
            </w:r>
            <w:r w:rsidR="00E86D4B">
              <w:rPr>
                <w:noProof/>
                <w:webHidden/>
              </w:rPr>
              <w:tab/>
            </w:r>
            <w:r w:rsidR="00E86D4B">
              <w:rPr>
                <w:noProof/>
                <w:webHidden/>
              </w:rPr>
              <w:fldChar w:fldCharType="begin"/>
            </w:r>
            <w:r w:rsidR="00E86D4B">
              <w:rPr>
                <w:noProof/>
                <w:webHidden/>
              </w:rPr>
              <w:instrText xml:space="preserve"> PAGEREF _Toc162444740 \h </w:instrText>
            </w:r>
            <w:r w:rsidR="00E86D4B">
              <w:rPr>
                <w:noProof/>
                <w:webHidden/>
              </w:rPr>
            </w:r>
            <w:r w:rsidR="00E86D4B">
              <w:rPr>
                <w:noProof/>
                <w:webHidden/>
              </w:rPr>
              <w:fldChar w:fldCharType="separate"/>
            </w:r>
            <w:r w:rsidR="00E86D4B">
              <w:rPr>
                <w:noProof/>
                <w:webHidden/>
              </w:rPr>
              <w:t>10</w:t>
            </w:r>
            <w:r w:rsidR="00E86D4B">
              <w:rPr>
                <w:noProof/>
                <w:webHidden/>
              </w:rPr>
              <w:fldChar w:fldCharType="end"/>
            </w:r>
          </w:hyperlink>
        </w:p>
        <w:p w14:paraId="1C4459DB" w14:textId="62C685DD" w:rsidR="00E86D4B" w:rsidRDefault="008B3043">
          <w:pPr>
            <w:pStyle w:val="Sadraj3"/>
            <w:rPr>
              <w:rFonts w:asciiTheme="minorHAnsi" w:eastAsiaTheme="minorEastAsia" w:hAnsiTheme="minorHAnsi" w:cstheme="minorBidi"/>
              <w:noProof/>
              <w:sz w:val="22"/>
              <w:szCs w:val="22"/>
            </w:rPr>
          </w:pPr>
          <w:hyperlink w:anchor="_Toc162444741" w:history="1">
            <w:r w:rsidR="00E86D4B" w:rsidRPr="00B50469">
              <w:rPr>
                <w:rStyle w:val="Hiperveza"/>
                <w:rFonts w:cs="Arial"/>
                <w:b/>
                <w:bCs/>
                <w:i/>
                <w:iCs/>
                <w:noProof/>
              </w:rPr>
              <w:t>2.2.1 Aktivnost A 665000 – Administracija i upravljanje</w:t>
            </w:r>
            <w:r w:rsidR="00E86D4B">
              <w:rPr>
                <w:noProof/>
                <w:webHidden/>
              </w:rPr>
              <w:tab/>
            </w:r>
            <w:r w:rsidR="00E86D4B">
              <w:rPr>
                <w:noProof/>
                <w:webHidden/>
              </w:rPr>
              <w:fldChar w:fldCharType="begin"/>
            </w:r>
            <w:r w:rsidR="00E86D4B">
              <w:rPr>
                <w:noProof/>
                <w:webHidden/>
              </w:rPr>
              <w:instrText xml:space="preserve"> PAGEREF _Toc162444741 \h </w:instrText>
            </w:r>
            <w:r w:rsidR="00E86D4B">
              <w:rPr>
                <w:noProof/>
                <w:webHidden/>
              </w:rPr>
            </w:r>
            <w:r w:rsidR="00E86D4B">
              <w:rPr>
                <w:noProof/>
                <w:webHidden/>
              </w:rPr>
              <w:fldChar w:fldCharType="separate"/>
            </w:r>
            <w:r w:rsidR="00E86D4B">
              <w:rPr>
                <w:noProof/>
                <w:webHidden/>
              </w:rPr>
              <w:t>13</w:t>
            </w:r>
            <w:r w:rsidR="00E86D4B">
              <w:rPr>
                <w:noProof/>
                <w:webHidden/>
              </w:rPr>
              <w:fldChar w:fldCharType="end"/>
            </w:r>
          </w:hyperlink>
        </w:p>
        <w:p w14:paraId="0537E2A8" w14:textId="66827C5E" w:rsidR="00E86D4B" w:rsidRDefault="008B3043">
          <w:pPr>
            <w:pStyle w:val="Sadraj3"/>
            <w:rPr>
              <w:rFonts w:asciiTheme="minorHAnsi" w:eastAsiaTheme="minorEastAsia" w:hAnsiTheme="minorHAnsi" w:cstheme="minorBidi"/>
              <w:noProof/>
              <w:sz w:val="22"/>
              <w:szCs w:val="22"/>
            </w:rPr>
          </w:pPr>
          <w:hyperlink w:anchor="_Toc162444742" w:history="1">
            <w:r w:rsidR="00E86D4B" w:rsidRPr="00B50469">
              <w:rPr>
                <w:rStyle w:val="Hiperveza"/>
                <w:rFonts w:cs="Arial"/>
                <w:b/>
                <w:bCs/>
                <w:i/>
                <w:iCs/>
                <w:noProof/>
              </w:rPr>
              <w:t>2.2.2. Kapitalni projekt K 665001 – Informatizacija</w:t>
            </w:r>
            <w:r w:rsidR="00E86D4B">
              <w:rPr>
                <w:noProof/>
                <w:webHidden/>
              </w:rPr>
              <w:tab/>
            </w:r>
            <w:r w:rsidR="00E86D4B">
              <w:rPr>
                <w:noProof/>
                <w:webHidden/>
              </w:rPr>
              <w:fldChar w:fldCharType="begin"/>
            </w:r>
            <w:r w:rsidR="00E86D4B">
              <w:rPr>
                <w:noProof/>
                <w:webHidden/>
              </w:rPr>
              <w:instrText xml:space="preserve"> PAGEREF _Toc162444742 \h </w:instrText>
            </w:r>
            <w:r w:rsidR="00E86D4B">
              <w:rPr>
                <w:noProof/>
                <w:webHidden/>
              </w:rPr>
            </w:r>
            <w:r w:rsidR="00E86D4B">
              <w:rPr>
                <w:noProof/>
                <w:webHidden/>
              </w:rPr>
              <w:fldChar w:fldCharType="separate"/>
            </w:r>
            <w:r w:rsidR="00E86D4B">
              <w:rPr>
                <w:noProof/>
                <w:webHidden/>
              </w:rPr>
              <w:t>15</w:t>
            </w:r>
            <w:r w:rsidR="00E86D4B">
              <w:rPr>
                <w:noProof/>
                <w:webHidden/>
              </w:rPr>
              <w:fldChar w:fldCharType="end"/>
            </w:r>
          </w:hyperlink>
        </w:p>
        <w:p w14:paraId="4BFEEE12" w14:textId="4F203177" w:rsidR="00E86D4B" w:rsidRDefault="008B3043">
          <w:pPr>
            <w:pStyle w:val="Sadraj3"/>
            <w:rPr>
              <w:rFonts w:asciiTheme="minorHAnsi" w:eastAsiaTheme="minorEastAsia" w:hAnsiTheme="minorHAnsi" w:cstheme="minorBidi"/>
              <w:noProof/>
              <w:sz w:val="22"/>
              <w:szCs w:val="22"/>
            </w:rPr>
          </w:pPr>
          <w:hyperlink w:anchor="_Toc162444743" w:history="1">
            <w:r w:rsidR="00E86D4B" w:rsidRPr="00B50469">
              <w:rPr>
                <w:rStyle w:val="Hiperveza"/>
                <w:rFonts w:cs="Arial"/>
                <w:b/>
                <w:bCs/>
                <w:i/>
                <w:iCs/>
                <w:noProof/>
              </w:rPr>
              <w:t>2.2.3. Kapitalni projekt K 665002 – Obnova voznog parka</w:t>
            </w:r>
            <w:r w:rsidR="00E86D4B">
              <w:rPr>
                <w:noProof/>
                <w:webHidden/>
              </w:rPr>
              <w:tab/>
            </w:r>
            <w:r w:rsidR="00E86D4B">
              <w:rPr>
                <w:noProof/>
                <w:webHidden/>
              </w:rPr>
              <w:fldChar w:fldCharType="begin"/>
            </w:r>
            <w:r w:rsidR="00E86D4B">
              <w:rPr>
                <w:noProof/>
                <w:webHidden/>
              </w:rPr>
              <w:instrText xml:space="preserve"> PAGEREF _Toc162444743 \h </w:instrText>
            </w:r>
            <w:r w:rsidR="00E86D4B">
              <w:rPr>
                <w:noProof/>
                <w:webHidden/>
              </w:rPr>
            </w:r>
            <w:r w:rsidR="00E86D4B">
              <w:rPr>
                <w:noProof/>
                <w:webHidden/>
              </w:rPr>
              <w:fldChar w:fldCharType="separate"/>
            </w:r>
            <w:r w:rsidR="00E86D4B">
              <w:rPr>
                <w:noProof/>
                <w:webHidden/>
              </w:rPr>
              <w:t>15</w:t>
            </w:r>
            <w:r w:rsidR="00E86D4B">
              <w:rPr>
                <w:noProof/>
                <w:webHidden/>
              </w:rPr>
              <w:fldChar w:fldCharType="end"/>
            </w:r>
          </w:hyperlink>
        </w:p>
        <w:p w14:paraId="0DFFF45F" w14:textId="3871A88E" w:rsidR="00E86D4B" w:rsidRDefault="008B3043">
          <w:pPr>
            <w:pStyle w:val="Sadraj2"/>
            <w:tabs>
              <w:tab w:val="left" w:pos="1134"/>
            </w:tabs>
            <w:rPr>
              <w:rFonts w:asciiTheme="minorHAnsi" w:eastAsiaTheme="minorEastAsia" w:hAnsiTheme="minorHAnsi" w:cstheme="minorBidi"/>
              <w:noProof/>
              <w:sz w:val="22"/>
              <w:szCs w:val="22"/>
            </w:rPr>
          </w:pPr>
          <w:hyperlink w:anchor="_Toc162444744" w:history="1">
            <w:r w:rsidR="00E86D4B" w:rsidRPr="00B50469">
              <w:rPr>
                <w:rStyle w:val="Hiperveza"/>
                <w:rFonts w:cs="Arial"/>
                <w:b/>
                <w:noProof/>
              </w:rPr>
              <w:t>2.3.</w:t>
            </w:r>
            <w:r w:rsidR="00E86D4B">
              <w:rPr>
                <w:rFonts w:asciiTheme="minorHAnsi" w:eastAsiaTheme="minorEastAsia" w:hAnsiTheme="minorHAnsi" w:cstheme="minorBidi"/>
                <w:noProof/>
                <w:sz w:val="22"/>
                <w:szCs w:val="22"/>
              </w:rPr>
              <w:tab/>
            </w:r>
            <w:r w:rsidR="00E86D4B" w:rsidRPr="00B50469">
              <w:rPr>
                <w:rStyle w:val="Hiperveza"/>
                <w:rFonts w:cs="Arial"/>
                <w:b/>
                <w:noProof/>
              </w:rPr>
              <w:t>Obrazloženje godišnjeg izvještaja o</w:t>
            </w:r>
            <w:r w:rsidR="00E86D4B">
              <w:rPr>
                <w:rStyle w:val="Hiperveza"/>
                <w:rFonts w:cs="Arial"/>
                <w:b/>
                <w:noProof/>
              </w:rPr>
              <w:t xml:space="preserve"> izvršenju financijskog plana</w:t>
            </w:r>
            <w:r w:rsidR="00E86D4B" w:rsidRPr="00B50469">
              <w:rPr>
                <w:rStyle w:val="Hiperveza"/>
                <w:rFonts w:cs="Arial"/>
                <w:b/>
                <w:noProof/>
              </w:rPr>
              <w:t xml:space="preserve"> za 2023.</w:t>
            </w:r>
            <w:r w:rsidR="00E86D4B">
              <w:rPr>
                <w:noProof/>
                <w:webHidden/>
              </w:rPr>
              <w:tab/>
            </w:r>
            <w:r w:rsidR="00E86D4B">
              <w:rPr>
                <w:noProof/>
                <w:webHidden/>
              </w:rPr>
              <w:fldChar w:fldCharType="begin"/>
            </w:r>
            <w:r w:rsidR="00E86D4B">
              <w:rPr>
                <w:noProof/>
                <w:webHidden/>
              </w:rPr>
              <w:instrText xml:space="preserve"> PAGEREF _Toc162444744 \h </w:instrText>
            </w:r>
            <w:r w:rsidR="00E86D4B">
              <w:rPr>
                <w:noProof/>
                <w:webHidden/>
              </w:rPr>
            </w:r>
            <w:r w:rsidR="00E86D4B">
              <w:rPr>
                <w:noProof/>
                <w:webHidden/>
              </w:rPr>
              <w:fldChar w:fldCharType="separate"/>
            </w:r>
            <w:r w:rsidR="00E86D4B">
              <w:rPr>
                <w:noProof/>
                <w:webHidden/>
              </w:rPr>
              <w:t>16</w:t>
            </w:r>
            <w:r w:rsidR="00E86D4B">
              <w:rPr>
                <w:noProof/>
                <w:webHidden/>
              </w:rPr>
              <w:fldChar w:fldCharType="end"/>
            </w:r>
          </w:hyperlink>
        </w:p>
        <w:p w14:paraId="2F4E8D18" w14:textId="3D5D97D9" w:rsidR="00E86D4B" w:rsidRDefault="008B3043">
          <w:pPr>
            <w:pStyle w:val="Sadraj3"/>
            <w:tabs>
              <w:tab w:val="left" w:pos="1320"/>
            </w:tabs>
            <w:rPr>
              <w:rFonts w:asciiTheme="minorHAnsi" w:eastAsiaTheme="minorEastAsia" w:hAnsiTheme="minorHAnsi" w:cstheme="minorBidi"/>
              <w:noProof/>
              <w:sz w:val="22"/>
              <w:szCs w:val="22"/>
            </w:rPr>
          </w:pPr>
          <w:hyperlink w:anchor="_Toc162444745" w:history="1">
            <w:r w:rsidR="00E86D4B" w:rsidRPr="00B50469">
              <w:rPr>
                <w:rStyle w:val="Hiperveza"/>
                <w:rFonts w:cs="Arial"/>
                <w:b/>
                <w:noProof/>
              </w:rPr>
              <w:t>2.3.1.</w:t>
            </w:r>
            <w:r w:rsidR="00E86D4B">
              <w:rPr>
                <w:rFonts w:asciiTheme="minorHAnsi" w:eastAsiaTheme="minorEastAsia" w:hAnsiTheme="minorHAnsi" w:cstheme="minorBidi"/>
                <w:noProof/>
                <w:sz w:val="22"/>
                <w:szCs w:val="22"/>
              </w:rPr>
              <w:tab/>
            </w:r>
            <w:r w:rsidR="00E86D4B" w:rsidRPr="00B50469">
              <w:rPr>
                <w:rStyle w:val="Hiperveza"/>
                <w:rFonts w:cs="Arial"/>
                <w:b/>
                <w:noProof/>
              </w:rPr>
              <w:t>Obrazloženje općeg dijela izvršenja financijskog plana</w:t>
            </w:r>
            <w:r w:rsidR="00E86D4B">
              <w:rPr>
                <w:noProof/>
                <w:webHidden/>
              </w:rPr>
              <w:tab/>
            </w:r>
            <w:r w:rsidR="00E86D4B">
              <w:rPr>
                <w:noProof/>
                <w:webHidden/>
              </w:rPr>
              <w:fldChar w:fldCharType="begin"/>
            </w:r>
            <w:r w:rsidR="00E86D4B">
              <w:rPr>
                <w:noProof/>
                <w:webHidden/>
              </w:rPr>
              <w:instrText xml:space="preserve"> PAGEREF _Toc162444745 \h </w:instrText>
            </w:r>
            <w:r w:rsidR="00E86D4B">
              <w:rPr>
                <w:noProof/>
                <w:webHidden/>
              </w:rPr>
            </w:r>
            <w:r w:rsidR="00E86D4B">
              <w:rPr>
                <w:noProof/>
                <w:webHidden/>
              </w:rPr>
              <w:fldChar w:fldCharType="separate"/>
            </w:r>
            <w:r w:rsidR="00E86D4B">
              <w:rPr>
                <w:noProof/>
                <w:webHidden/>
              </w:rPr>
              <w:t>16</w:t>
            </w:r>
            <w:r w:rsidR="00E86D4B">
              <w:rPr>
                <w:noProof/>
                <w:webHidden/>
              </w:rPr>
              <w:fldChar w:fldCharType="end"/>
            </w:r>
          </w:hyperlink>
        </w:p>
        <w:p w14:paraId="7387AE7A" w14:textId="77F8EC61" w:rsidR="00E86D4B" w:rsidRDefault="008B3043">
          <w:pPr>
            <w:pStyle w:val="Sadraj3"/>
            <w:tabs>
              <w:tab w:val="left" w:pos="1320"/>
            </w:tabs>
            <w:rPr>
              <w:rFonts w:asciiTheme="minorHAnsi" w:eastAsiaTheme="minorEastAsia" w:hAnsiTheme="minorHAnsi" w:cstheme="minorBidi"/>
              <w:noProof/>
              <w:sz w:val="22"/>
              <w:szCs w:val="22"/>
            </w:rPr>
          </w:pPr>
          <w:hyperlink w:anchor="_Toc162444746" w:history="1">
            <w:r w:rsidR="00E86D4B" w:rsidRPr="00B50469">
              <w:rPr>
                <w:rStyle w:val="Hiperveza"/>
                <w:rFonts w:cs="Arial"/>
                <w:b/>
                <w:noProof/>
              </w:rPr>
              <w:t>2.3.2.</w:t>
            </w:r>
            <w:r w:rsidR="00E86D4B">
              <w:rPr>
                <w:rFonts w:asciiTheme="minorHAnsi" w:eastAsiaTheme="minorEastAsia" w:hAnsiTheme="minorHAnsi" w:cstheme="minorBidi"/>
                <w:noProof/>
                <w:sz w:val="22"/>
                <w:szCs w:val="22"/>
              </w:rPr>
              <w:tab/>
            </w:r>
            <w:r w:rsidR="00E86D4B" w:rsidRPr="00B50469">
              <w:rPr>
                <w:rStyle w:val="Hiperveza"/>
                <w:rFonts w:cs="Arial"/>
                <w:b/>
                <w:noProof/>
              </w:rPr>
              <w:t>Obrazloženje posebnog dijela izvršenja financijskog plana</w:t>
            </w:r>
            <w:r w:rsidR="00E86D4B">
              <w:rPr>
                <w:noProof/>
                <w:webHidden/>
              </w:rPr>
              <w:tab/>
            </w:r>
            <w:r w:rsidR="00E86D4B">
              <w:rPr>
                <w:noProof/>
                <w:webHidden/>
              </w:rPr>
              <w:fldChar w:fldCharType="begin"/>
            </w:r>
            <w:r w:rsidR="00E86D4B">
              <w:rPr>
                <w:noProof/>
                <w:webHidden/>
              </w:rPr>
              <w:instrText xml:space="preserve"> PAGEREF _Toc162444746 \h </w:instrText>
            </w:r>
            <w:r w:rsidR="00E86D4B">
              <w:rPr>
                <w:noProof/>
                <w:webHidden/>
              </w:rPr>
            </w:r>
            <w:r w:rsidR="00E86D4B">
              <w:rPr>
                <w:noProof/>
                <w:webHidden/>
              </w:rPr>
              <w:fldChar w:fldCharType="separate"/>
            </w:r>
            <w:r w:rsidR="00E86D4B">
              <w:rPr>
                <w:noProof/>
                <w:webHidden/>
              </w:rPr>
              <w:t>18</w:t>
            </w:r>
            <w:r w:rsidR="00E86D4B">
              <w:rPr>
                <w:noProof/>
                <w:webHidden/>
              </w:rPr>
              <w:fldChar w:fldCharType="end"/>
            </w:r>
          </w:hyperlink>
        </w:p>
        <w:p w14:paraId="373D7994" w14:textId="2DFE3106" w:rsidR="00E86D4B" w:rsidRDefault="008B3043">
          <w:pPr>
            <w:pStyle w:val="Sadraj3"/>
            <w:tabs>
              <w:tab w:val="left" w:pos="1540"/>
            </w:tabs>
            <w:rPr>
              <w:rFonts w:asciiTheme="minorHAnsi" w:eastAsiaTheme="minorEastAsia" w:hAnsiTheme="minorHAnsi" w:cstheme="minorBidi"/>
              <w:noProof/>
              <w:sz w:val="22"/>
              <w:szCs w:val="22"/>
            </w:rPr>
          </w:pPr>
          <w:hyperlink w:anchor="_Toc162444747" w:history="1">
            <w:r w:rsidR="00E86D4B" w:rsidRPr="00B50469">
              <w:rPr>
                <w:rStyle w:val="Hiperveza"/>
                <w:rFonts w:cs="Arial"/>
                <w:b/>
                <w:noProof/>
              </w:rPr>
              <w:t>2.3.2.1.Pokazatelji rezultata</w:t>
            </w:r>
            <w:r w:rsidR="00E86D4B">
              <w:rPr>
                <w:noProof/>
                <w:webHidden/>
              </w:rPr>
              <w:tab/>
            </w:r>
            <w:r w:rsidR="00E86D4B">
              <w:rPr>
                <w:noProof/>
                <w:webHidden/>
              </w:rPr>
              <w:fldChar w:fldCharType="begin"/>
            </w:r>
            <w:r w:rsidR="00E86D4B">
              <w:rPr>
                <w:noProof/>
                <w:webHidden/>
              </w:rPr>
              <w:instrText xml:space="preserve"> PAGEREF _Toc162444747 \h </w:instrText>
            </w:r>
            <w:r w:rsidR="00E86D4B">
              <w:rPr>
                <w:noProof/>
                <w:webHidden/>
              </w:rPr>
            </w:r>
            <w:r w:rsidR="00E86D4B">
              <w:rPr>
                <w:noProof/>
                <w:webHidden/>
              </w:rPr>
              <w:fldChar w:fldCharType="separate"/>
            </w:r>
            <w:r w:rsidR="00E86D4B">
              <w:rPr>
                <w:noProof/>
                <w:webHidden/>
              </w:rPr>
              <w:t>18</w:t>
            </w:r>
            <w:r w:rsidR="00E86D4B">
              <w:rPr>
                <w:noProof/>
                <w:webHidden/>
              </w:rPr>
              <w:fldChar w:fldCharType="end"/>
            </w:r>
          </w:hyperlink>
        </w:p>
        <w:p w14:paraId="4C6DF4F6" w14:textId="2A69210E" w:rsidR="00E86D4B" w:rsidRDefault="008B3043">
          <w:pPr>
            <w:pStyle w:val="Sadraj3"/>
            <w:tabs>
              <w:tab w:val="left" w:pos="1134"/>
            </w:tabs>
            <w:rPr>
              <w:rFonts w:asciiTheme="minorHAnsi" w:eastAsiaTheme="minorEastAsia" w:hAnsiTheme="minorHAnsi" w:cstheme="minorBidi"/>
              <w:noProof/>
              <w:sz w:val="22"/>
              <w:szCs w:val="22"/>
            </w:rPr>
          </w:pPr>
          <w:hyperlink w:anchor="_Toc162444748" w:history="1">
            <w:r w:rsidR="00E86D4B" w:rsidRPr="00B50469">
              <w:rPr>
                <w:rStyle w:val="Hiperveza"/>
                <w:rFonts w:cs="Arial"/>
                <w:b/>
                <w:noProof/>
              </w:rPr>
              <w:t>2.4.</w:t>
            </w:r>
            <w:r w:rsidR="00E86D4B">
              <w:rPr>
                <w:rFonts w:asciiTheme="minorHAnsi" w:eastAsiaTheme="minorEastAsia" w:hAnsiTheme="minorHAnsi" w:cstheme="minorBidi"/>
                <w:noProof/>
                <w:sz w:val="22"/>
                <w:szCs w:val="22"/>
              </w:rPr>
              <w:tab/>
            </w:r>
            <w:r w:rsidR="00E86D4B" w:rsidRPr="00B50469">
              <w:rPr>
                <w:rStyle w:val="Hiperveza"/>
                <w:rFonts w:cs="Arial"/>
                <w:b/>
                <w:noProof/>
              </w:rPr>
              <w:t>Posebni izvještaj o godišnjem izvještaju o izvršenju financijskog plana za 2023.</w:t>
            </w:r>
            <w:r w:rsidR="00E86D4B">
              <w:rPr>
                <w:noProof/>
                <w:webHidden/>
              </w:rPr>
              <w:tab/>
            </w:r>
            <w:r w:rsidR="00E86D4B">
              <w:rPr>
                <w:noProof/>
                <w:webHidden/>
              </w:rPr>
              <w:fldChar w:fldCharType="begin"/>
            </w:r>
            <w:r w:rsidR="00E86D4B">
              <w:rPr>
                <w:noProof/>
                <w:webHidden/>
              </w:rPr>
              <w:instrText xml:space="preserve"> PAGEREF _Toc162444748 \h </w:instrText>
            </w:r>
            <w:r w:rsidR="00E86D4B">
              <w:rPr>
                <w:noProof/>
                <w:webHidden/>
              </w:rPr>
            </w:r>
            <w:r w:rsidR="00E86D4B">
              <w:rPr>
                <w:noProof/>
                <w:webHidden/>
              </w:rPr>
              <w:fldChar w:fldCharType="separate"/>
            </w:r>
            <w:r w:rsidR="00E86D4B">
              <w:rPr>
                <w:noProof/>
                <w:webHidden/>
              </w:rPr>
              <w:t>22</w:t>
            </w:r>
            <w:r w:rsidR="00E86D4B">
              <w:rPr>
                <w:noProof/>
                <w:webHidden/>
              </w:rPr>
              <w:fldChar w:fldCharType="end"/>
            </w:r>
          </w:hyperlink>
        </w:p>
        <w:p w14:paraId="315B652C" w14:textId="78AC7104" w:rsidR="00E86D4B" w:rsidRDefault="008B3043">
          <w:pPr>
            <w:pStyle w:val="Sadraj3"/>
            <w:rPr>
              <w:rFonts w:asciiTheme="minorHAnsi" w:eastAsiaTheme="minorEastAsia" w:hAnsiTheme="minorHAnsi" w:cstheme="minorBidi"/>
              <w:noProof/>
              <w:sz w:val="22"/>
              <w:szCs w:val="22"/>
            </w:rPr>
          </w:pPr>
          <w:hyperlink w:anchor="_Toc162444749" w:history="1">
            <w:r w:rsidR="00E86D4B" w:rsidRPr="00B50469">
              <w:rPr>
                <w:rStyle w:val="Hiperveza"/>
                <w:rFonts w:cs="Arial"/>
                <w:b/>
                <w:noProof/>
              </w:rPr>
              <w:t>2.4.1. Izvještaj o zaduživanju na domaćem i stranom tržištu novca i kapitala</w:t>
            </w:r>
            <w:r w:rsidR="00E86D4B">
              <w:rPr>
                <w:noProof/>
                <w:webHidden/>
              </w:rPr>
              <w:tab/>
            </w:r>
            <w:r w:rsidR="00E86D4B">
              <w:rPr>
                <w:noProof/>
                <w:webHidden/>
              </w:rPr>
              <w:fldChar w:fldCharType="begin"/>
            </w:r>
            <w:r w:rsidR="00E86D4B">
              <w:rPr>
                <w:noProof/>
                <w:webHidden/>
              </w:rPr>
              <w:instrText xml:space="preserve"> PAGEREF _Toc162444749 \h </w:instrText>
            </w:r>
            <w:r w:rsidR="00E86D4B">
              <w:rPr>
                <w:noProof/>
                <w:webHidden/>
              </w:rPr>
            </w:r>
            <w:r w:rsidR="00E86D4B">
              <w:rPr>
                <w:noProof/>
                <w:webHidden/>
              </w:rPr>
              <w:fldChar w:fldCharType="separate"/>
            </w:r>
            <w:r w:rsidR="00E86D4B">
              <w:rPr>
                <w:noProof/>
                <w:webHidden/>
              </w:rPr>
              <w:t>22</w:t>
            </w:r>
            <w:r w:rsidR="00E86D4B">
              <w:rPr>
                <w:noProof/>
                <w:webHidden/>
              </w:rPr>
              <w:fldChar w:fldCharType="end"/>
            </w:r>
          </w:hyperlink>
        </w:p>
        <w:p w14:paraId="1A4520BA" w14:textId="4EC0F80B" w:rsidR="00E86D4B" w:rsidRDefault="008B3043">
          <w:pPr>
            <w:pStyle w:val="Sadraj3"/>
            <w:rPr>
              <w:rFonts w:asciiTheme="minorHAnsi" w:eastAsiaTheme="minorEastAsia" w:hAnsiTheme="minorHAnsi" w:cstheme="minorBidi"/>
              <w:noProof/>
              <w:sz w:val="22"/>
              <w:szCs w:val="22"/>
            </w:rPr>
          </w:pPr>
          <w:hyperlink w:anchor="_Toc162444750" w:history="1">
            <w:r w:rsidR="00E86D4B" w:rsidRPr="00B50469">
              <w:rPr>
                <w:rStyle w:val="Hiperveza"/>
                <w:rFonts w:cs="Arial"/>
                <w:b/>
                <w:noProof/>
              </w:rPr>
              <w:t>2.4.2. Izvještaj o korištenju sredstava fondova Europske unije</w:t>
            </w:r>
            <w:r w:rsidR="00E86D4B">
              <w:rPr>
                <w:noProof/>
                <w:webHidden/>
              </w:rPr>
              <w:tab/>
            </w:r>
            <w:r w:rsidR="00E86D4B">
              <w:rPr>
                <w:noProof/>
                <w:webHidden/>
              </w:rPr>
              <w:fldChar w:fldCharType="begin"/>
            </w:r>
            <w:r w:rsidR="00E86D4B">
              <w:rPr>
                <w:noProof/>
                <w:webHidden/>
              </w:rPr>
              <w:instrText xml:space="preserve"> PAGEREF _Toc162444750 \h </w:instrText>
            </w:r>
            <w:r w:rsidR="00E86D4B">
              <w:rPr>
                <w:noProof/>
                <w:webHidden/>
              </w:rPr>
            </w:r>
            <w:r w:rsidR="00E86D4B">
              <w:rPr>
                <w:noProof/>
                <w:webHidden/>
              </w:rPr>
              <w:fldChar w:fldCharType="separate"/>
            </w:r>
            <w:r w:rsidR="00E86D4B">
              <w:rPr>
                <w:noProof/>
                <w:webHidden/>
              </w:rPr>
              <w:t>22</w:t>
            </w:r>
            <w:r w:rsidR="00E86D4B">
              <w:rPr>
                <w:noProof/>
                <w:webHidden/>
              </w:rPr>
              <w:fldChar w:fldCharType="end"/>
            </w:r>
          </w:hyperlink>
        </w:p>
        <w:p w14:paraId="69054DF1" w14:textId="3AB4B071" w:rsidR="00E86D4B" w:rsidRDefault="008B3043">
          <w:pPr>
            <w:pStyle w:val="Sadraj1"/>
            <w:rPr>
              <w:rFonts w:cstheme="minorBidi"/>
              <w:noProof/>
            </w:rPr>
          </w:pPr>
          <w:hyperlink w:anchor="_Toc162444751" w:history="1">
            <w:r w:rsidR="00E86D4B" w:rsidRPr="00B50469">
              <w:rPr>
                <w:rStyle w:val="Hiperveza"/>
                <w:rFonts w:ascii="Arial" w:hAnsi="Arial" w:cs="Arial"/>
                <w:b/>
                <w:bCs/>
                <w:noProof/>
              </w:rPr>
              <w:t>3.  Popis tablica</w:t>
            </w:r>
            <w:r w:rsidR="00E86D4B">
              <w:rPr>
                <w:noProof/>
                <w:webHidden/>
              </w:rPr>
              <w:tab/>
            </w:r>
            <w:r w:rsidR="00E86D4B" w:rsidRPr="00E86D4B">
              <w:rPr>
                <w:rFonts w:ascii="Arial" w:hAnsi="Arial" w:cs="Arial"/>
                <w:noProof/>
                <w:webHidden/>
                <w:sz w:val="24"/>
                <w:szCs w:val="24"/>
              </w:rPr>
              <w:fldChar w:fldCharType="begin"/>
            </w:r>
            <w:r w:rsidR="00E86D4B" w:rsidRPr="00E86D4B">
              <w:rPr>
                <w:rFonts w:ascii="Arial" w:hAnsi="Arial" w:cs="Arial"/>
                <w:noProof/>
                <w:webHidden/>
                <w:sz w:val="24"/>
                <w:szCs w:val="24"/>
              </w:rPr>
              <w:instrText xml:space="preserve"> PAGEREF _Toc162444751 \h </w:instrText>
            </w:r>
            <w:r w:rsidR="00E86D4B" w:rsidRPr="00E86D4B">
              <w:rPr>
                <w:rFonts w:ascii="Arial" w:hAnsi="Arial" w:cs="Arial"/>
                <w:noProof/>
                <w:webHidden/>
                <w:sz w:val="24"/>
                <w:szCs w:val="24"/>
              </w:rPr>
            </w:r>
            <w:r w:rsidR="00E86D4B" w:rsidRPr="00E86D4B">
              <w:rPr>
                <w:rFonts w:ascii="Arial" w:hAnsi="Arial" w:cs="Arial"/>
                <w:noProof/>
                <w:webHidden/>
                <w:sz w:val="24"/>
                <w:szCs w:val="24"/>
              </w:rPr>
              <w:fldChar w:fldCharType="separate"/>
            </w:r>
            <w:r w:rsidR="00E86D4B" w:rsidRPr="00E86D4B">
              <w:rPr>
                <w:rFonts w:ascii="Arial" w:hAnsi="Arial" w:cs="Arial"/>
                <w:noProof/>
                <w:webHidden/>
                <w:sz w:val="24"/>
                <w:szCs w:val="24"/>
              </w:rPr>
              <w:t>23</w:t>
            </w:r>
            <w:r w:rsidR="00E86D4B" w:rsidRPr="00E86D4B">
              <w:rPr>
                <w:rFonts w:ascii="Arial" w:hAnsi="Arial" w:cs="Arial"/>
                <w:noProof/>
                <w:webHidden/>
                <w:sz w:val="24"/>
                <w:szCs w:val="24"/>
              </w:rPr>
              <w:fldChar w:fldCharType="end"/>
            </w:r>
          </w:hyperlink>
        </w:p>
        <w:p w14:paraId="5EFED061" w14:textId="7FC35CC4" w:rsidR="004B720F" w:rsidRDefault="007C4394" w:rsidP="00EA44BF">
          <w:pPr>
            <w:jc w:val="left"/>
            <w:rPr>
              <w:rFonts w:cs="Arial"/>
            </w:rPr>
          </w:pPr>
          <w:r w:rsidRPr="00CC373D">
            <w:rPr>
              <w:rFonts w:cs="Arial"/>
              <w:b/>
              <w:bCs/>
              <w:noProof/>
            </w:rPr>
            <w:fldChar w:fldCharType="end"/>
          </w:r>
        </w:p>
      </w:sdtContent>
    </w:sdt>
    <w:p w14:paraId="7F43CDB8" w14:textId="77777777" w:rsidR="004B720F" w:rsidRPr="004B720F" w:rsidRDefault="004B720F" w:rsidP="004B720F">
      <w:pPr>
        <w:rPr>
          <w:rFonts w:cs="Arial"/>
        </w:rPr>
      </w:pPr>
    </w:p>
    <w:p w14:paraId="69365C81" w14:textId="77777777" w:rsidR="004B720F" w:rsidRPr="004B720F" w:rsidRDefault="004B720F" w:rsidP="004B720F">
      <w:pPr>
        <w:rPr>
          <w:rFonts w:cs="Arial"/>
        </w:rPr>
      </w:pPr>
    </w:p>
    <w:p w14:paraId="228DEBCB" w14:textId="77777777" w:rsidR="004B720F" w:rsidRPr="004B720F" w:rsidRDefault="004B720F" w:rsidP="004B720F">
      <w:pPr>
        <w:rPr>
          <w:rFonts w:cs="Arial"/>
        </w:rPr>
      </w:pPr>
    </w:p>
    <w:p w14:paraId="1D9F3E5F" w14:textId="77777777" w:rsidR="004B720F" w:rsidRPr="004B720F" w:rsidRDefault="004B720F" w:rsidP="004B720F">
      <w:pPr>
        <w:rPr>
          <w:rFonts w:cs="Arial"/>
        </w:rPr>
      </w:pPr>
    </w:p>
    <w:p w14:paraId="0C0BF101" w14:textId="77777777" w:rsidR="004B720F" w:rsidRPr="004B720F" w:rsidRDefault="004B720F" w:rsidP="004B720F">
      <w:pPr>
        <w:rPr>
          <w:rFonts w:cs="Arial"/>
        </w:rPr>
      </w:pPr>
    </w:p>
    <w:p w14:paraId="6B21D15F" w14:textId="77777777" w:rsidR="004B720F" w:rsidRPr="004B720F" w:rsidRDefault="004B720F" w:rsidP="004B720F">
      <w:pPr>
        <w:rPr>
          <w:rFonts w:cs="Arial"/>
        </w:rPr>
      </w:pPr>
    </w:p>
    <w:p w14:paraId="0344FDDB" w14:textId="77777777" w:rsidR="004B720F" w:rsidRPr="004B720F" w:rsidRDefault="004B720F" w:rsidP="004B720F">
      <w:pPr>
        <w:rPr>
          <w:rFonts w:cs="Arial"/>
        </w:rPr>
      </w:pPr>
    </w:p>
    <w:p w14:paraId="7CE4DC7D" w14:textId="77777777" w:rsidR="004B720F" w:rsidRPr="004B720F" w:rsidRDefault="004B720F" w:rsidP="004B720F">
      <w:pPr>
        <w:rPr>
          <w:rFonts w:cs="Arial"/>
        </w:rPr>
      </w:pPr>
    </w:p>
    <w:p w14:paraId="527BCAF2" w14:textId="77777777" w:rsidR="004B720F" w:rsidRPr="004B720F" w:rsidRDefault="004B720F" w:rsidP="004B720F">
      <w:pPr>
        <w:rPr>
          <w:rFonts w:cs="Arial"/>
        </w:rPr>
      </w:pPr>
    </w:p>
    <w:p w14:paraId="04CACE55" w14:textId="72258CA3" w:rsidR="004B720F" w:rsidRDefault="004B720F" w:rsidP="004B720F">
      <w:pPr>
        <w:rPr>
          <w:rFonts w:cs="Arial"/>
        </w:rPr>
      </w:pPr>
    </w:p>
    <w:p w14:paraId="25914A8B" w14:textId="52FF14E0" w:rsidR="004B720F" w:rsidRDefault="004B720F" w:rsidP="004B720F">
      <w:pPr>
        <w:tabs>
          <w:tab w:val="left" w:pos="8925"/>
        </w:tabs>
        <w:rPr>
          <w:rFonts w:cs="Arial"/>
        </w:rPr>
      </w:pPr>
      <w:r>
        <w:rPr>
          <w:rFonts w:cs="Arial"/>
        </w:rPr>
        <w:tab/>
      </w:r>
    </w:p>
    <w:p w14:paraId="33C3FB45" w14:textId="6780CB2B" w:rsidR="007C4394" w:rsidRPr="004B720F" w:rsidRDefault="004B720F" w:rsidP="004B720F">
      <w:pPr>
        <w:tabs>
          <w:tab w:val="left" w:pos="8925"/>
        </w:tabs>
        <w:rPr>
          <w:rFonts w:cs="Arial"/>
        </w:rPr>
        <w:sectPr w:rsidR="007C4394" w:rsidRPr="004B720F" w:rsidSect="009461FD">
          <w:pgSz w:w="11906" w:h="16838" w:code="9"/>
          <w:pgMar w:top="1134" w:right="1134" w:bottom="1134" w:left="1134" w:header="567" w:footer="567" w:gutter="0"/>
          <w:pgNumType w:start="1" w:chapStyle="1"/>
          <w:cols w:space="708"/>
          <w:docGrid w:linePitch="360"/>
        </w:sectPr>
      </w:pPr>
      <w:r>
        <w:rPr>
          <w:rFonts w:cs="Arial"/>
        </w:rPr>
        <w:tab/>
      </w:r>
    </w:p>
    <w:p w14:paraId="1D42CB6B" w14:textId="74B394E9" w:rsidR="00B70088" w:rsidRPr="00CA357C" w:rsidRDefault="00134851" w:rsidP="00BD6578">
      <w:pPr>
        <w:pStyle w:val="Naslov1"/>
        <w:numPr>
          <w:ilvl w:val="0"/>
          <w:numId w:val="23"/>
        </w:numPr>
        <w:rPr>
          <w:rFonts w:ascii="Arial" w:hAnsi="Arial" w:cs="Arial"/>
          <w:b/>
          <w:bCs/>
          <w:color w:val="auto"/>
          <w:sz w:val="28"/>
          <w:szCs w:val="28"/>
        </w:rPr>
      </w:pPr>
      <w:bookmarkStart w:id="0" w:name="_Toc162444737"/>
      <w:r>
        <w:rPr>
          <w:rFonts w:ascii="Arial" w:hAnsi="Arial" w:cs="Arial"/>
          <w:b/>
          <w:bCs/>
          <w:color w:val="auto"/>
          <w:sz w:val="28"/>
          <w:szCs w:val="28"/>
        </w:rPr>
        <w:lastRenderedPageBreak/>
        <w:t>Uvod</w:t>
      </w:r>
      <w:bookmarkEnd w:id="0"/>
    </w:p>
    <w:p w14:paraId="26827E7F" w14:textId="77777777" w:rsidR="00B70088" w:rsidRPr="00CA357C" w:rsidRDefault="00B70088" w:rsidP="00B70088">
      <w:pPr>
        <w:rPr>
          <w:rFonts w:cs="Arial"/>
          <w:color w:val="000000" w:themeColor="text1"/>
        </w:rPr>
      </w:pPr>
    </w:p>
    <w:p w14:paraId="773B9192" w14:textId="521498A8" w:rsidR="006417D3" w:rsidRPr="00F4045B" w:rsidRDefault="00B70088" w:rsidP="008C676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rPr>
      </w:pPr>
      <w:r w:rsidRPr="00CA357C">
        <w:rPr>
          <w:rFonts w:cs="Arial"/>
          <w:color w:val="000000" w:themeColor="text1"/>
        </w:rPr>
        <w:tab/>
      </w:r>
      <w:r w:rsidR="002E016C">
        <w:rPr>
          <w:rFonts w:cs="Arial"/>
        </w:rPr>
        <w:t xml:space="preserve">Državni ured za reviziju </w:t>
      </w:r>
      <w:r w:rsidR="001532AD" w:rsidRPr="00F4045B">
        <w:rPr>
          <w:rFonts w:cs="Arial"/>
        </w:rPr>
        <w:t xml:space="preserve">sastavio </w:t>
      </w:r>
      <w:r w:rsidR="002E016C">
        <w:rPr>
          <w:rFonts w:cs="Arial"/>
        </w:rPr>
        <w:t xml:space="preserve">je </w:t>
      </w:r>
      <w:r w:rsidR="008C7C33">
        <w:rPr>
          <w:rFonts w:cs="Arial"/>
        </w:rPr>
        <w:t>G</w:t>
      </w:r>
      <w:r w:rsidR="001532AD" w:rsidRPr="00F4045B">
        <w:rPr>
          <w:rFonts w:cs="Arial"/>
        </w:rPr>
        <w:t>odišnji izvještaj o izvršenju financijskog plana za 2023.</w:t>
      </w:r>
      <w:r w:rsidR="001C6D60">
        <w:rPr>
          <w:rFonts w:cs="Arial"/>
        </w:rPr>
        <w:t xml:space="preserve"> </w:t>
      </w:r>
      <w:r w:rsidR="001532AD" w:rsidRPr="00F4045B">
        <w:rPr>
          <w:rFonts w:cs="Arial"/>
        </w:rPr>
        <w:t xml:space="preserve">u skladu s odredbama </w:t>
      </w:r>
      <w:r w:rsidR="008C7C33">
        <w:rPr>
          <w:rFonts w:cs="Arial"/>
        </w:rPr>
        <w:t>Pravilnika o polugodišnjem i godišnjem izvještaju o izvršenju proračuna i financijskog plana</w:t>
      </w:r>
      <w:r w:rsidR="00A348EF" w:rsidRPr="00F4045B">
        <w:rPr>
          <w:rFonts w:cs="Arial"/>
        </w:rPr>
        <w:t xml:space="preserve"> </w:t>
      </w:r>
      <w:r w:rsidR="00F51DDC" w:rsidRPr="00F4045B">
        <w:rPr>
          <w:rFonts w:cs="Arial"/>
        </w:rPr>
        <w:t>(Narodne novine</w:t>
      </w:r>
      <w:r w:rsidR="008C7C33">
        <w:rPr>
          <w:rFonts w:cs="Arial"/>
        </w:rPr>
        <w:t xml:space="preserve"> 85/23</w:t>
      </w:r>
      <w:r w:rsidR="002E016C">
        <w:rPr>
          <w:rFonts w:cs="Arial"/>
        </w:rPr>
        <w:t>)</w:t>
      </w:r>
      <w:r w:rsidR="001C6D60">
        <w:rPr>
          <w:rFonts w:cs="Arial"/>
        </w:rPr>
        <w:t>.</w:t>
      </w:r>
      <w:r w:rsidR="000605F3" w:rsidRPr="00F4045B">
        <w:rPr>
          <w:rFonts w:cs="Arial"/>
        </w:rPr>
        <w:t xml:space="preserve"> </w:t>
      </w:r>
      <w:r w:rsidR="001C6D60">
        <w:rPr>
          <w:rFonts w:cs="Arial"/>
        </w:rPr>
        <w:t>G</w:t>
      </w:r>
      <w:r w:rsidR="001C6D60" w:rsidRPr="00F4045B">
        <w:rPr>
          <w:rFonts w:cs="Arial"/>
        </w:rPr>
        <w:t>odišnji izvještaj o izvršenju financijskog plana za 2023.</w:t>
      </w:r>
      <w:r w:rsidR="001C6D60">
        <w:rPr>
          <w:rFonts w:cs="Arial"/>
        </w:rPr>
        <w:t xml:space="preserve"> dio je godišnjeg Izvješća o radu Državnog ureda za reviziju za 2023.</w:t>
      </w:r>
    </w:p>
    <w:p w14:paraId="0D030B8B" w14:textId="77777777" w:rsidR="00E91659" w:rsidRPr="00CA357C" w:rsidRDefault="00E91659" w:rsidP="008C676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p>
    <w:p w14:paraId="5004F23E" w14:textId="44EAC77C" w:rsidR="00842324" w:rsidRPr="002F24FC" w:rsidRDefault="00FF3A10" w:rsidP="002F24FC">
      <w:pPr>
        <w:pStyle w:val="Naslov1"/>
        <w:numPr>
          <w:ilvl w:val="0"/>
          <w:numId w:val="23"/>
        </w:numPr>
        <w:rPr>
          <w:rFonts w:ascii="Arial" w:hAnsi="Arial" w:cs="Arial"/>
          <w:b/>
          <w:color w:val="auto"/>
          <w:sz w:val="28"/>
          <w:szCs w:val="28"/>
        </w:rPr>
      </w:pPr>
      <w:bookmarkStart w:id="1" w:name="_Toc162444738"/>
      <w:r>
        <w:rPr>
          <w:rFonts w:ascii="Arial" w:hAnsi="Arial" w:cs="Arial"/>
          <w:b/>
          <w:color w:val="auto"/>
          <w:sz w:val="28"/>
          <w:szCs w:val="28"/>
        </w:rPr>
        <w:t>Godišnji i</w:t>
      </w:r>
      <w:r w:rsidR="00134851" w:rsidRPr="002F24FC">
        <w:rPr>
          <w:rFonts w:ascii="Arial" w:hAnsi="Arial" w:cs="Arial"/>
          <w:b/>
          <w:color w:val="auto"/>
          <w:sz w:val="28"/>
          <w:szCs w:val="28"/>
        </w:rPr>
        <w:t xml:space="preserve">zvještaj o izvršenju </w:t>
      </w:r>
      <w:r>
        <w:rPr>
          <w:rFonts w:ascii="Arial" w:hAnsi="Arial" w:cs="Arial"/>
          <w:b/>
          <w:color w:val="auto"/>
          <w:sz w:val="28"/>
          <w:szCs w:val="28"/>
        </w:rPr>
        <w:t>financijskog</w:t>
      </w:r>
      <w:r w:rsidR="00134851" w:rsidRPr="002F24FC">
        <w:rPr>
          <w:rFonts w:ascii="Arial" w:hAnsi="Arial" w:cs="Arial"/>
          <w:b/>
          <w:color w:val="auto"/>
          <w:sz w:val="28"/>
          <w:szCs w:val="28"/>
        </w:rPr>
        <w:t xml:space="preserve"> plana</w:t>
      </w:r>
      <w:bookmarkEnd w:id="1"/>
    </w:p>
    <w:p w14:paraId="6E32D219" w14:textId="516B2CBA" w:rsidR="00134851" w:rsidRDefault="00134851" w:rsidP="00134851"/>
    <w:p w14:paraId="179FCC6A" w14:textId="3D687877" w:rsidR="00134851" w:rsidRDefault="00134851" w:rsidP="00134851">
      <w:pPr>
        <w:ind w:firstLine="360"/>
      </w:pPr>
      <w:r>
        <w:t>Prema</w:t>
      </w:r>
      <w:r w:rsidR="00D945CC" w:rsidRPr="00D945CC">
        <w:rPr>
          <w:rFonts w:cs="Arial"/>
        </w:rPr>
        <w:t xml:space="preserve"> </w:t>
      </w:r>
      <w:r w:rsidR="00D945CC" w:rsidRPr="00D945CC">
        <w:t>P</w:t>
      </w:r>
      <w:r w:rsidR="00D945CC">
        <w:t>ravilniku</w:t>
      </w:r>
      <w:r w:rsidR="00D945CC" w:rsidRPr="00D945CC">
        <w:t xml:space="preserve"> o polugodišnjem i godišnjem izvještaju o izvršenju proračuna i financijskog plana</w:t>
      </w:r>
      <w:r w:rsidR="00086020">
        <w:t>, g</w:t>
      </w:r>
      <w:r w:rsidR="00FF3A10">
        <w:t>odišnji</w:t>
      </w:r>
      <w:r w:rsidR="001532AD">
        <w:t xml:space="preserve"> </w:t>
      </w:r>
      <w:r w:rsidR="00FF3A10">
        <w:t>i</w:t>
      </w:r>
      <w:r>
        <w:t xml:space="preserve">zvještaj o izvršenju </w:t>
      </w:r>
      <w:r w:rsidR="00FF3A10">
        <w:t>financijskog</w:t>
      </w:r>
      <w:r w:rsidR="00E1584F" w:rsidRPr="00E04F5A">
        <w:t xml:space="preserve"> plana </w:t>
      </w:r>
      <w:r>
        <w:t>se sastoji od:</w:t>
      </w:r>
    </w:p>
    <w:p w14:paraId="0E2D3E86" w14:textId="3FD0191C" w:rsidR="00134851" w:rsidRDefault="00134851" w:rsidP="00134851"/>
    <w:p w14:paraId="2D601C38" w14:textId="763DBD31" w:rsidR="00134851" w:rsidRDefault="00086020" w:rsidP="00134851">
      <w:pPr>
        <w:pStyle w:val="Odlomakpopisa"/>
        <w:numPr>
          <w:ilvl w:val="0"/>
          <w:numId w:val="28"/>
        </w:numPr>
      </w:pPr>
      <w:r>
        <w:t>o</w:t>
      </w:r>
      <w:r w:rsidR="0016376C">
        <w:t>pćeg dijela g</w:t>
      </w:r>
      <w:r w:rsidR="00134851">
        <w:t>odišnjeg izvještaja o izvršenju financijskog plana</w:t>
      </w:r>
    </w:p>
    <w:p w14:paraId="3791CB2B" w14:textId="7EE15BA7" w:rsidR="00134851" w:rsidRDefault="00086020" w:rsidP="00134851">
      <w:pPr>
        <w:pStyle w:val="Odlomakpopisa"/>
        <w:numPr>
          <w:ilvl w:val="0"/>
          <w:numId w:val="28"/>
        </w:numPr>
      </w:pPr>
      <w:r>
        <w:t>p</w:t>
      </w:r>
      <w:r w:rsidR="00134851">
        <w:t>osebnog dijela</w:t>
      </w:r>
      <w:r w:rsidR="00134851" w:rsidRPr="00134851">
        <w:t xml:space="preserve"> godišnjeg izvještaja o izvršenju financijskog plana</w:t>
      </w:r>
    </w:p>
    <w:p w14:paraId="455B779A" w14:textId="5764524E" w:rsidR="00134851" w:rsidRDefault="00086020" w:rsidP="00134851">
      <w:pPr>
        <w:pStyle w:val="Odlomakpopisa"/>
        <w:numPr>
          <w:ilvl w:val="0"/>
          <w:numId w:val="28"/>
        </w:numPr>
      </w:pPr>
      <w:r>
        <w:t>o</w:t>
      </w:r>
      <w:r w:rsidR="00134851">
        <w:t xml:space="preserve">brazloženja </w:t>
      </w:r>
      <w:r w:rsidR="00134851" w:rsidRPr="00134851">
        <w:t>godišnjeg izvještaja o izvršenju financijskog plana</w:t>
      </w:r>
    </w:p>
    <w:p w14:paraId="70014A4F" w14:textId="7CBA73FC" w:rsidR="00134851" w:rsidRDefault="00086020" w:rsidP="00134851">
      <w:pPr>
        <w:pStyle w:val="Odlomakpopisa"/>
        <w:numPr>
          <w:ilvl w:val="0"/>
          <w:numId w:val="28"/>
        </w:numPr>
      </w:pPr>
      <w:r>
        <w:t>p</w:t>
      </w:r>
      <w:r w:rsidR="00134851">
        <w:t>osebnih izvještaja u godišnjem</w:t>
      </w:r>
      <w:r w:rsidR="00134851" w:rsidRPr="00134851">
        <w:t xml:space="preserve"> izvještaj</w:t>
      </w:r>
      <w:r w:rsidR="00134851">
        <w:t>u</w:t>
      </w:r>
      <w:r w:rsidR="00134851" w:rsidRPr="00134851">
        <w:t xml:space="preserve"> o izvršenju financijskog plana</w:t>
      </w:r>
      <w:r w:rsidR="002E016C">
        <w:t>.</w:t>
      </w:r>
    </w:p>
    <w:p w14:paraId="6CE7B4A8" w14:textId="414A7365" w:rsidR="00134851" w:rsidRDefault="00134851" w:rsidP="00134851"/>
    <w:p w14:paraId="6039CDCB" w14:textId="2202F4E7" w:rsidR="00134851" w:rsidRDefault="00134851" w:rsidP="00134851"/>
    <w:p w14:paraId="667A1204" w14:textId="73B0AB67" w:rsidR="00134851" w:rsidRPr="002F24FC" w:rsidRDefault="00134851" w:rsidP="002F24FC">
      <w:pPr>
        <w:pStyle w:val="Naslov2"/>
        <w:numPr>
          <w:ilvl w:val="1"/>
          <w:numId w:val="23"/>
        </w:numPr>
        <w:tabs>
          <w:tab w:val="left" w:pos="993"/>
        </w:tabs>
        <w:rPr>
          <w:rFonts w:ascii="Arial" w:hAnsi="Arial" w:cs="Arial"/>
          <w:b/>
          <w:color w:val="auto"/>
        </w:rPr>
      </w:pPr>
      <w:bookmarkStart w:id="2" w:name="_Toc162444739"/>
      <w:r w:rsidRPr="002F24FC">
        <w:rPr>
          <w:rFonts w:ascii="Arial" w:hAnsi="Arial" w:cs="Arial"/>
          <w:b/>
          <w:color w:val="auto"/>
        </w:rPr>
        <w:t xml:space="preserve">Opći dio </w:t>
      </w:r>
      <w:r w:rsidR="001A7EDE">
        <w:rPr>
          <w:rFonts w:ascii="Arial" w:hAnsi="Arial" w:cs="Arial"/>
          <w:b/>
          <w:color w:val="auto"/>
        </w:rPr>
        <w:t xml:space="preserve">godišnjeg </w:t>
      </w:r>
      <w:r w:rsidRPr="002F24FC">
        <w:rPr>
          <w:rFonts w:ascii="Arial" w:hAnsi="Arial" w:cs="Arial"/>
          <w:b/>
          <w:color w:val="auto"/>
        </w:rPr>
        <w:t>izvještaja o izvršenju financijskog plana</w:t>
      </w:r>
      <w:bookmarkEnd w:id="2"/>
    </w:p>
    <w:p w14:paraId="64508456" w14:textId="6DD28097" w:rsidR="0083314F" w:rsidRPr="00CA357C" w:rsidRDefault="0083314F" w:rsidP="0083314F">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rPr>
      </w:pPr>
    </w:p>
    <w:p w14:paraId="356D1F1C" w14:textId="780A0007" w:rsidR="00134851" w:rsidRDefault="0083314F" w:rsidP="0083314F">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sidRPr="00CA357C">
        <w:rPr>
          <w:rFonts w:cs="Arial"/>
          <w:color w:val="000000" w:themeColor="text1"/>
        </w:rPr>
        <w:tab/>
        <w:t>Opći dio</w:t>
      </w:r>
      <w:r w:rsidR="001A7EDE">
        <w:rPr>
          <w:rFonts w:cs="Arial"/>
          <w:color w:val="000000" w:themeColor="text1"/>
        </w:rPr>
        <w:t xml:space="preserve"> godišnjeg</w:t>
      </w:r>
      <w:r w:rsidRPr="00CA357C">
        <w:rPr>
          <w:rFonts w:cs="Arial"/>
          <w:color w:val="000000" w:themeColor="text1"/>
        </w:rPr>
        <w:t xml:space="preserve"> </w:t>
      </w:r>
      <w:r w:rsidR="00407C13" w:rsidRPr="00CA357C">
        <w:rPr>
          <w:rFonts w:cs="Arial"/>
          <w:color w:val="000000" w:themeColor="text1"/>
        </w:rPr>
        <w:t>izvještaja</w:t>
      </w:r>
      <w:r w:rsidR="00557999" w:rsidRPr="00CA357C">
        <w:rPr>
          <w:rFonts w:cs="Arial"/>
          <w:color w:val="000000" w:themeColor="text1"/>
        </w:rPr>
        <w:t xml:space="preserve"> o</w:t>
      </w:r>
      <w:r w:rsidR="002041A1" w:rsidRPr="00CA357C">
        <w:rPr>
          <w:rFonts w:cs="Arial"/>
          <w:color w:val="000000" w:themeColor="text1"/>
        </w:rPr>
        <w:t xml:space="preserve"> izvršenju </w:t>
      </w:r>
      <w:r w:rsidRPr="00CA357C">
        <w:rPr>
          <w:rFonts w:cs="Arial"/>
          <w:color w:val="000000" w:themeColor="text1"/>
        </w:rPr>
        <w:t>financijskog plana</w:t>
      </w:r>
      <w:r w:rsidR="00134851">
        <w:rPr>
          <w:rFonts w:cs="Arial"/>
          <w:color w:val="000000" w:themeColor="text1"/>
        </w:rPr>
        <w:t xml:space="preserve"> se</w:t>
      </w:r>
      <w:r w:rsidRPr="00CA357C">
        <w:rPr>
          <w:rFonts w:cs="Arial"/>
          <w:color w:val="000000" w:themeColor="text1"/>
        </w:rPr>
        <w:t xml:space="preserve"> sastoji </w:t>
      </w:r>
      <w:r w:rsidR="00134851">
        <w:rPr>
          <w:rFonts w:cs="Arial"/>
          <w:color w:val="000000" w:themeColor="text1"/>
        </w:rPr>
        <w:t>od:</w:t>
      </w:r>
    </w:p>
    <w:p w14:paraId="59F8B9A2" w14:textId="77777777" w:rsidR="00134851" w:rsidRDefault="00134851" w:rsidP="0083314F">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p>
    <w:p w14:paraId="3B82ECF5" w14:textId="0BC62B9D" w:rsidR="00134851" w:rsidRPr="009E395C" w:rsidRDefault="00086020" w:rsidP="009E395C">
      <w:pPr>
        <w:pStyle w:val="Odlomakpopisa"/>
        <w:numPr>
          <w:ilvl w:val="0"/>
          <w:numId w:val="28"/>
        </w:numPr>
      </w:pPr>
      <w:r w:rsidRPr="009E395C">
        <w:t>s</w:t>
      </w:r>
      <w:r w:rsidR="0083314F" w:rsidRPr="009E395C">
        <w:t xml:space="preserve">ažetka </w:t>
      </w:r>
      <w:r w:rsidR="0016376C" w:rsidRPr="009E395C">
        <w:t>R</w:t>
      </w:r>
      <w:r w:rsidR="0083314F" w:rsidRPr="009E395C">
        <w:t>ačuna prihoda i rashoda i</w:t>
      </w:r>
      <w:r w:rsidR="00134851" w:rsidRPr="009E395C">
        <w:t xml:space="preserve"> Računa financiranja </w:t>
      </w:r>
    </w:p>
    <w:p w14:paraId="6A1DAD35" w14:textId="77777777" w:rsidR="00467329" w:rsidRPr="009E395C" w:rsidRDefault="002041A1" w:rsidP="009E395C">
      <w:pPr>
        <w:pStyle w:val="Odlomakpopisa"/>
        <w:numPr>
          <w:ilvl w:val="0"/>
          <w:numId w:val="28"/>
        </w:numPr>
      </w:pPr>
      <w:r w:rsidRPr="009E395C">
        <w:t xml:space="preserve">Računa prihoda i rashoda i </w:t>
      </w:r>
    </w:p>
    <w:p w14:paraId="447C854E" w14:textId="6B959B45" w:rsidR="0029279C" w:rsidRPr="009E395C" w:rsidRDefault="00D509FD" w:rsidP="009E395C">
      <w:pPr>
        <w:pStyle w:val="Odlomakpopisa"/>
        <w:numPr>
          <w:ilvl w:val="0"/>
          <w:numId w:val="28"/>
        </w:numPr>
      </w:pPr>
      <w:r w:rsidRPr="009E395C">
        <w:t>R</w:t>
      </w:r>
      <w:r w:rsidR="001A7EDE" w:rsidRPr="009E395C">
        <w:t>ačuna financiranja.</w:t>
      </w:r>
    </w:p>
    <w:p w14:paraId="6D68E2BA" w14:textId="36FCC41D" w:rsidR="00467329" w:rsidRDefault="00467329" w:rsidP="00E04F5A">
      <w:pPr>
        <w:pStyle w:val="Odlomakpopisa"/>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p>
    <w:p w14:paraId="19FC6E18" w14:textId="65E9406F" w:rsidR="00467329" w:rsidRPr="00713E51" w:rsidRDefault="00713E51" w:rsidP="00713E5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467329" w:rsidRPr="00713E51">
        <w:rPr>
          <w:rFonts w:cs="Arial"/>
          <w:color w:val="000000" w:themeColor="text1"/>
        </w:rPr>
        <w:t xml:space="preserve">Sažetak Računa prihoda i rashoda i Računa financiranja sadrži ukupno ostvarene prihode i primitke te izvršene rashode i izdatke </w:t>
      </w:r>
      <w:r w:rsidR="001C6D60">
        <w:rPr>
          <w:rFonts w:cs="Arial"/>
          <w:color w:val="000000" w:themeColor="text1"/>
        </w:rPr>
        <w:t>te</w:t>
      </w:r>
      <w:r w:rsidR="00467329" w:rsidRPr="00713E51">
        <w:rPr>
          <w:rFonts w:cs="Arial"/>
          <w:color w:val="000000" w:themeColor="text1"/>
        </w:rPr>
        <w:t xml:space="preserve"> razliku između ukupno ostvarenih prihoda i rashoda te primitaka i izdataka. Također</w:t>
      </w:r>
      <w:r w:rsidR="001C6DEE">
        <w:rPr>
          <w:rFonts w:cs="Arial"/>
          <w:color w:val="000000" w:themeColor="text1"/>
        </w:rPr>
        <w:t>,</w:t>
      </w:r>
      <w:r w:rsidR="00467329" w:rsidRPr="00713E51">
        <w:rPr>
          <w:rFonts w:cs="Arial"/>
          <w:color w:val="000000" w:themeColor="text1"/>
        </w:rPr>
        <w:t xml:space="preserve"> sadrži i prijenos sredstava iz prethodne godine i prijenos sredstava u sljedeću godinu.</w:t>
      </w:r>
    </w:p>
    <w:p w14:paraId="4963D395" w14:textId="5BD4AC6C" w:rsidR="00713E51" w:rsidRDefault="0029279C" w:rsidP="0029279C">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713E51">
        <w:rPr>
          <w:rFonts w:cs="Arial"/>
          <w:color w:val="000000" w:themeColor="text1"/>
        </w:rPr>
        <w:t xml:space="preserve">Račun prihoda i rashoda </w:t>
      </w:r>
      <w:r w:rsidR="002041A1" w:rsidRPr="0029279C">
        <w:rPr>
          <w:rFonts w:cs="Arial"/>
          <w:color w:val="000000" w:themeColor="text1"/>
        </w:rPr>
        <w:t>sastoji</w:t>
      </w:r>
      <w:r w:rsidR="00713E51">
        <w:rPr>
          <w:rFonts w:cs="Arial"/>
          <w:color w:val="000000" w:themeColor="text1"/>
        </w:rPr>
        <w:t xml:space="preserve"> se</w:t>
      </w:r>
      <w:r w:rsidR="002041A1" w:rsidRPr="0029279C">
        <w:rPr>
          <w:rFonts w:cs="Arial"/>
          <w:color w:val="000000" w:themeColor="text1"/>
        </w:rPr>
        <w:t xml:space="preserve"> od prihoda i rashoda iskazanih prema </w:t>
      </w:r>
      <w:r w:rsidR="00713E51">
        <w:rPr>
          <w:rFonts w:cs="Arial"/>
          <w:color w:val="000000" w:themeColor="text1"/>
        </w:rPr>
        <w:t xml:space="preserve">ekonomskoj klasifikaciji i prema </w:t>
      </w:r>
      <w:r w:rsidR="002041A1" w:rsidRPr="0029279C">
        <w:rPr>
          <w:rFonts w:cs="Arial"/>
          <w:color w:val="000000" w:themeColor="text1"/>
        </w:rPr>
        <w:t>izvorima financir</w:t>
      </w:r>
      <w:r w:rsidR="00713E51">
        <w:rPr>
          <w:rFonts w:cs="Arial"/>
          <w:color w:val="000000" w:themeColor="text1"/>
        </w:rPr>
        <w:t xml:space="preserve">anja </w:t>
      </w:r>
      <w:r w:rsidR="002041A1" w:rsidRPr="0029279C">
        <w:rPr>
          <w:rFonts w:cs="Arial"/>
          <w:color w:val="000000" w:themeColor="text1"/>
        </w:rPr>
        <w:t xml:space="preserve">te rashoda iskazanih prema funkcijskoj klasifikaciji. </w:t>
      </w:r>
    </w:p>
    <w:p w14:paraId="3F9C1C90" w14:textId="2C146678" w:rsidR="0083314F" w:rsidRDefault="0029279C" w:rsidP="0029279C">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2041A1" w:rsidRPr="0029279C">
        <w:rPr>
          <w:rFonts w:cs="Arial"/>
          <w:color w:val="000000" w:themeColor="text1"/>
        </w:rPr>
        <w:t>U Račun</w:t>
      </w:r>
      <w:r w:rsidR="0030554E">
        <w:rPr>
          <w:rFonts w:cs="Arial"/>
          <w:color w:val="000000" w:themeColor="text1"/>
        </w:rPr>
        <w:t>u</w:t>
      </w:r>
      <w:r w:rsidR="002041A1" w:rsidRPr="0029279C">
        <w:rPr>
          <w:rFonts w:cs="Arial"/>
          <w:color w:val="000000" w:themeColor="text1"/>
        </w:rPr>
        <w:t xml:space="preserve"> financiranja iskazuju se primici</w:t>
      </w:r>
      <w:r w:rsidR="00BC527C">
        <w:rPr>
          <w:rFonts w:cs="Arial"/>
          <w:color w:val="000000" w:themeColor="text1"/>
        </w:rPr>
        <w:t xml:space="preserve"> i</w:t>
      </w:r>
      <w:r w:rsidR="00630345" w:rsidRPr="0029279C">
        <w:rPr>
          <w:rFonts w:cs="Arial"/>
          <w:color w:val="000000" w:themeColor="text1"/>
        </w:rPr>
        <w:t xml:space="preserve"> </w:t>
      </w:r>
      <w:r w:rsidR="002041A1" w:rsidRPr="0029279C">
        <w:rPr>
          <w:rFonts w:cs="Arial"/>
          <w:color w:val="000000" w:themeColor="text1"/>
        </w:rPr>
        <w:t xml:space="preserve">izdaci prema </w:t>
      </w:r>
      <w:r w:rsidR="00E04F5A">
        <w:rPr>
          <w:rFonts w:cs="Arial"/>
          <w:color w:val="000000" w:themeColor="text1"/>
        </w:rPr>
        <w:t>ekonomskoj klasifikaciji</w:t>
      </w:r>
      <w:r w:rsidR="00BC527C">
        <w:rPr>
          <w:rFonts w:cs="Arial"/>
          <w:color w:val="000000" w:themeColor="text1"/>
        </w:rPr>
        <w:t xml:space="preserve"> i </w:t>
      </w:r>
      <w:r w:rsidR="00BC527C" w:rsidRPr="0029279C">
        <w:rPr>
          <w:rFonts w:cs="Arial"/>
          <w:color w:val="000000" w:themeColor="text1"/>
        </w:rPr>
        <w:t>izvorima financiran</w:t>
      </w:r>
      <w:r w:rsidR="00BC527C">
        <w:rPr>
          <w:rFonts w:cs="Arial"/>
          <w:color w:val="000000" w:themeColor="text1"/>
        </w:rPr>
        <w:t>ja.</w:t>
      </w:r>
    </w:p>
    <w:p w14:paraId="41677ACA" w14:textId="4A541C50" w:rsidR="006C3A55" w:rsidRPr="00B127E5" w:rsidRDefault="006C3A55" w:rsidP="0029279C">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FF0000"/>
        </w:rPr>
      </w:pPr>
    </w:p>
    <w:p w14:paraId="2A75BF6D" w14:textId="310D9A20" w:rsidR="003E687E" w:rsidRDefault="001532AD" w:rsidP="000E5A44">
      <w:pPr>
        <w:widowControl/>
        <w:autoSpaceDE/>
        <w:autoSpaceDN/>
        <w:adjustRightInd/>
        <w:spacing w:after="160" w:line="259" w:lineRule="auto"/>
        <w:rPr>
          <w:rFonts w:cs="Arial"/>
          <w:color w:val="000000" w:themeColor="text1"/>
        </w:rPr>
      </w:pPr>
      <w:r w:rsidRPr="00B127E5">
        <w:rPr>
          <w:rFonts w:cs="Arial"/>
          <w:color w:val="FF0000"/>
        </w:rPr>
        <w:tab/>
      </w:r>
      <w:r w:rsidRPr="00F4045B">
        <w:rPr>
          <w:rFonts w:cs="Arial"/>
        </w:rPr>
        <w:t xml:space="preserve">U tablicama u nastavku dani su podaci koji se odnose na </w:t>
      </w:r>
      <w:r w:rsidR="001D1A97">
        <w:rPr>
          <w:rFonts w:cs="Arial"/>
        </w:rPr>
        <w:t>opći dio, s</w:t>
      </w:r>
      <w:r w:rsidR="000E5A44" w:rsidRPr="00F4045B">
        <w:rPr>
          <w:rFonts w:cs="Arial"/>
        </w:rPr>
        <w:t>ažetak Račun</w:t>
      </w:r>
      <w:r w:rsidR="005041D1">
        <w:rPr>
          <w:rFonts w:cs="Arial"/>
        </w:rPr>
        <w:t>a prihoda i rashoda i</w:t>
      </w:r>
      <w:r w:rsidR="000E5A44" w:rsidRPr="00F4045B">
        <w:rPr>
          <w:rFonts w:cs="Arial"/>
        </w:rPr>
        <w:t xml:space="preserve"> Račun</w:t>
      </w:r>
      <w:r w:rsidR="005041D1">
        <w:rPr>
          <w:rFonts w:cs="Arial"/>
        </w:rPr>
        <w:t>a</w:t>
      </w:r>
      <w:r w:rsidR="000E5A44" w:rsidRPr="00F4045B">
        <w:rPr>
          <w:rFonts w:cs="Arial"/>
        </w:rPr>
        <w:t xml:space="preserve"> financiranja, Izvještaj o prihodima i rashodima prema ekonomskoj klasifikaciji, </w:t>
      </w:r>
      <w:r w:rsidR="00B127E5" w:rsidRPr="00F4045B">
        <w:rPr>
          <w:rFonts w:cs="Arial"/>
        </w:rPr>
        <w:t>Izvještaj o prihodima i rashod</w:t>
      </w:r>
      <w:r w:rsidR="0030554E">
        <w:rPr>
          <w:rFonts w:cs="Arial"/>
        </w:rPr>
        <w:t>ima prema izvorima financiranja</w:t>
      </w:r>
      <w:r w:rsidR="00B127E5" w:rsidRPr="00F4045B">
        <w:rPr>
          <w:rFonts w:cs="Arial"/>
        </w:rPr>
        <w:t xml:space="preserve"> te </w:t>
      </w:r>
      <w:r w:rsidR="00F4045B" w:rsidRPr="00F4045B">
        <w:rPr>
          <w:rFonts w:cs="Arial"/>
        </w:rPr>
        <w:t xml:space="preserve">Izvještaj o </w:t>
      </w:r>
      <w:r w:rsidR="000E5A44" w:rsidRPr="00F4045B">
        <w:rPr>
          <w:rFonts w:cs="Arial"/>
        </w:rPr>
        <w:t>rashodima prema funkcijskoj klasifikaciji.</w:t>
      </w:r>
      <w:r w:rsidR="006A1C5E">
        <w:rPr>
          <w:rFonts w:cs="Arial"/>
        </w:rPr>
        <w:t xml:space="preserve"> </w:t>
      </w:r>
      <w:r w:rsidR="00574950">
        <w:rPr>
          <w:rFonts w:cs="Arial"/>
        </w:rPr>
        <w:t xml:space="preserve">Ured nema iskazanih podataka o primicima i izdacima u </w:t>
      </w:r>
      <w:r w:rsidR="006A1C5E">
        <w:rPr>
          <w:rFonts w:cs="Arial"/>
        </w:rPr>
        <w:t>Račun</w:t>
      </w:r>
      <w:r w:rsidR="00574950">
        <w:rPr>
          <w:rFonts w:cs="Arial"/>
        </w:rPr>
        <w:t>u</w:t>
      </w:r>
      <w:r w:rsidR="006A1C5E">
        <w:rPr>
          <w:rFonts w:cs="Arial"/>
        </w:rPr>
        <w:t xml:space="preserve"> financiranja</w:t>
      </w:r>
      <w:r w:rsidR="00574950">
        <w:rPr>
          <w:rFonts w:cs="Arial"/>
        </w:rPr>
        <w:t xml:space="preserve"> odnosno</w:t>
      </w:r>
      <w:r w:rsidR="001701EB">
        <w:rPr>
          <w:rFonts w:cs="Arial"/>
        </w:rPr>
        <w:t xml:space="preserve"> u I</w:t>
      </w:r>
      <w:r w:rsidR="006A1C5E">
        <w:rPr>
          <w:rFonts w:cs="Arial"/>
        </w:rPr>
        <w:t>zvještajima prema ekonomskoj klasifikaciji i izvorima financiranja</w:t>
      </w:r>
      <w:r w:rsidR="001C6D60" w:rsidRPr="001E1E90">
        <w:rPr>
          <w:rFonts w:cs="Arial"/>
        </w:rPr>
        <w:t xml:space="preserve"> jer primici i izdaci nisu ostvareni</w:t>
      </w:r>
      <w:r w:rsidR="00574950" w:rsidRPr="001E1E90">
        <w:rPr>
          <w:rFonts w:cs="Arial"/>
        </w:rPr>
        <w:t>.</w:t>
      </w:r>
      <w:r w:rsidR="006A1C5E">
        <w:rPr>
          <w:rFonts w:cs="Arial"/>
          <w:color w:val="000000" w:themeColor="text1"/>
        </w:rPr>
        <w:br w:type="page"/>
      </w:r>
    </w:p>
    <w:p w14:paraId="2D091845" w14:textId="32D66422" w:rsidR="003E687E" w:rsidRDefault="003E687E" w:rsidP="003E687E">
      <w:pPr>
        <w:spacing w:line="276" w:lineRule="auto"/>
        <w:rPr>
          <w:rFonts w:cs="Arial"/>
          <w:color w:val="000000" w:themeColor="text1"/>
        </w:rPr>
      </w:pPr>
      <w:r w:rsidRPr="003E687E">
        <w:rPr>
          <w:rFonts w:cs="Arial"/>
          <w:color w:val="000000" w:themeColor="text1"/>
        </w:rPr>
        <w:lastRenderedPageBreak/>
        <w:t xml:space="preserve">Tablica 1 </w:t>
      </w:r>
    </w:p>
    <w:tbl>
      <w:tblPr>
        <w:tblW w:w="5000" w:type="pct"/>
        <w:tblLook w:val="04A0" w:firstRow="1" w:lastRow="0" w:firstColumn="1" w:lastColumn="0" w:noHBand="0" w:noVBand="1"/>
      </w:tblPr>
      <w:tblGrid>
        <w:gridCol w:w="2842"/>
        <w:gridCol w:w="1271"/>
        <w:gridCol w:w="1042"/>
        <w:gridCol w:w="1043"/>
        <w:gridCol w:w="1271"/>
        <w:gridCol w:w="1084"/>
        <w:gridCol w:w="1085"/>
      </w:tblGrid>
      <w:tr w:rsidR="001738AF" w:rsidRPr="001738AF" w14:paraId="262F9C33" w14:textId="77777777" w:rsidTr="001738AF">
        <w:trPr>
          <w:trHeight w:val="240"/>
        </w:trPr>
        <w:tc>
          <w:tcPr>
            <w:tcW w:w="5000" w:type="pct"/>
            <w:gridSpan w:val="7"/>
            <w:tcBorders>
              <w:top w:val="nil"/>
              <w:left w:val="nil"/>
              <w:bottom w:val="nil"/>
              <w:right w:val="nil"/>
            </w:tcBorders>
            <w:shd w:val="clear" w:color="auto" w:fill="auto"/>
            <w:vAlign w:val="center"/>
            <w:hideMark/>
          </w:tcPr>
          <w:p w14:paraId="470F0495"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I. OPĆI DIO</w:t>
            </w:r>
          </w:p>
        </w:tc>
      </w:tr>
      <w:tr w:rsidR="001738AF" w:rsidRPr="001738AF" w14:paraId="10214BF3" w14:textId="77777777" w:rsidTr="001738AF">
        <w:trPr>
          <w:trHeight w:val="240"/>
        </w:trPr>
        <w:tc>
          <w:tcPr>
            <w:tcW w:w="1475" w:type="pct"/>
            <w:tcBorders>
              <w:top w:val="nil"/>
              <w:left w:val="nil"/>
              <w:bottom w:val="nil"/>
              <w:right w:val="nil"/>
            </w:tcBorders>
            <w:shd w:val="clear" w:color="auto" w:fill="auto"/>
            <w:vAlign w:val="center"/>
            <w:hideMark/>
          </w:tcPr>
          <w:p w14:paraId="0B8822BA" w14:textId="77777777" w:rsidR="001738AF" w:rsidRPr="001738AF" w:rsidRDefault="001738AF" w:rsidP="001738AF">
            <w:pPr>
              <w:widowControl/>
              <w:autoSpaceDE/>
              <w:autoSpaceDN/>
              <w:adjustRightInd/>
              <w:jc w:val="center"/>
              <w:rPr>
                <w:rFonts w:cs="Arial"/>
                <w:b/>
                <w:bCs/>
                <w:color w:val="000000"/>
                <w:sz w:val="18"/>
                <w:szCs w:val="18"/>
              </w:rPr>
            </w:pPr>
          </w:p>
        </w:tc>
        <w:tc>
          <w:tcPr>
            <w:tcW w:w="659" w:type="pct"/>
            <w:tcBorders>
              <w:top w:val="nil"/>
              <w:left w:val="nil"/>
              <w:bottom w:val="nil"/>
              <w:right w:val="nil"/>
            </w:tcBorders>
            <w:shd w:val="clear" w:color="auto" w:fill="auto"/>
            <w:vAlign w:val="center"/>
            <w:hideMark/>
          </w:tcPr>
          <w:p w14:paraId="00A8F704"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6D1905D4"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74018AC1" w14:textId="77777777" w:rsidR="001738AF" w:rsidRPr="001738AF" w:rsidRDefault="001738AF" w:rsidP="001738AF">
            <w:pPr>
              <w:widowControl/>
              <w:autoSpaceDE/>
              <w:autoSpaceDN/>
              <w:adjustRightInd/>
              <w:jc w:val="left"/>
              <w:rPr>
                <w:rFonts w:ascii="Times New Roman" w:hAnsi="Times New Roman"/>
                <w:sz w:val="20"/>
                <w:szCs w:val="20"/>
              </w:rPr>
            </w:pPr>
          </w:p>
        </w:tc>
        <w:tc>
          <w:tcPr>
            <w:tcW w:w="659" w:type="pct"/>
            <w:tcBorders>
              <w:top w:val="nil"/>
              <w:left w:val="nil"/>
              <w:bottom w:val="nil"/>
              <w:right w:val="nil"/>
            </w:tcBorders>
            <w:shd w:val="clear" w:color="auto" w:fill="auto"/>
            <w:vAlign w:val="center"/>
            <w:hideMark/>
          </w:tcPr>
          <w:p w14:paraId="7A34F357"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center"/>
            <w:hideMark/>
          </w:tcPr>
          <w:p w14:paraId="5C6839BA"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257B8EC8"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7D2AC33E" w14:textId="77777777" w:rsidTr="001738AF">
        <w:trPr>
          <w:trHeight w:val="240"/>
        </w:trPr>
        <w:tc>
          <w:tcPr>
            <w:tcW w:w="5000" w:type="pct"/>
            <w:gridSpan w:val="7"/>
            <w:tcBorders>
              <w:top w:val="nil"/>
              <w:left w:val="nil"/>
              <w:bottom w:val="nil"/>
              <w:right w:val="nil"/>
            </w:tcBorders>
            <w:shd w:val="clear" w:color="auto" w:fill="auto"/>
            <w:vAlign w:val="center"/>
            <w:hideMark/>
          </w:tcPr>
          <w:p w14:paraId="686B7314"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1.1. SAŽETAK RAČUNA PRIHODA I RASHODA I RAČUNA FINANCIRANJA</w:t>
            </w:r>
          </w:p>
        </w:tc>
      </w:tr>
      <w:tr w:rsidR="001738AF" w:rsidRPr="001738AF" w14:paraId="70FF3FA5" w14:textId="77777777" w:rsidTr="001738AF">
        <w:trPr>
          <w:trHeight w:val="240"/>
        </w:trPr>
        <w:tc>
          <w:tcPr>
            <w:tcW w:w="1475" w:type="pct"/>
            <w:tcBorders>
              <w:top w:val="nil"/>
              <w:left w:val="nil"/>
              <w:bottom w:val="nil"/>
              <w:right w:val="nil"/>
            </w:tcBorders>
            <w:shd w:val="clear" w:color="auto" w:fill="auto"/>
            <w:vAlign w:val="center"/>
            <w:hideMark/>
          </w:tcPr>
          <w:p w14:paraId="6C9120D3" w14:textId="77777777" w:rsidR="001738AF" w:rsidRPr="001738AF" w:rsidRDefault="001738AF" w:rsidP="001738AF">
            <w:pPr>
              <w:widowControl/>
              <w:autoSpaceDE/>
              <w:autoSpaceDN/>
              <w:adjustRightInd/>
              <w:jc w:val="center"/>
              <w:rPr>
                <w:rFonts w:cs="Arial"/>
                <w:b/>
                <w:bCs/>
                <w:color w:val="000000"/>
                <w:sz w:val="18"/>
                <w:szCs w:val="18"/>
              </w:rPr>
            </w:pPr>
          </w:p>
        </w:tc>
        <w:tc>
          <w:tcPr>
            <w:tcW w:w="659" w:type="pct"/>
            <w:tcBorders>
              <w:top w:val="nil"/>
              <w:left w:val="nil"/>
              <w:bottom w:val="nil"/>
              <w:right w:val="nil"/>
            </w:tcBorders>
            <w:shd w:val="clear" w:color="auto" w:fill="auto"/>
            <w:vAlign w:val="center"/>
            <w:hideMark/>
          </w:tcPr>
          <w:p w14:paraId="16A52FDF"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5A2A432B"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225FBB90" w14:textId="77777777" w:rsidR="001738AF" w:rsidRPr="001738AF" w:rsidRDefault="001738AF" w:rsidP="001738AF">
            <w:pPr>
              <w:widowControl/>
              <w:autoSpaceDE/>
              <w:autoSpaceDN/>
              <w:adjustRightInd/>
              <w:jc w:val="left"/>
              <w:rPr>
                <w:rFonts w:ascii="Times New Roman" w:hAnsi="Times New Roman"/>
                <w:sz w:val="20"/>
                <w:szCs w:val="20"/>
              </w:rPr>
            </w:pPr>
          </w:p>
        </w:tc>
        <w:tc>
          <w:tcPr>
            <w:tcW w:w="659" w:type="pct"/>
            <w:tcBorders>
              <w:top w:val="nil"/>
              <w:left w:val="nil"/>
              <w:bottom w:val="nil"/>
              <w:right w:val="nil"/>
            </w:tcBorders>
            <w:shd w:val="clear" w:color="auto" w:fill="auto"/>
            <w:vAlign w:val="center"/>
            <w:hideMark/>
          </w:tcPr>
          <w:p w14:paraId="4DAB4F37"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center"/>
            <w:hideMark/>
          </w:tcPr>
          <w:p w14:paraId="400ACAE5"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center"/>
            <w:hideMark/>
          </w:tcPr>
          <w:p w14:paraId="79168BD4"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3AA4F954" w14:textId="77777777" w:rsidTr="001738AF">
        <w:trPr>
          <w:trHeight w:val="240"/>
        </w:trPr>
        <w:tc>
          <w:tcPr>
            <w:tcW w:w="5000" w:type="pct"/>
            <w:gridSpan w:val="7"/>
            <w:tcBorders>
              <w:top w:val="nil"/>
              <w:left w:val="nil"/>
              <w:bottom w:val="nil"/>
              <w:right w:val="nil"/>
            </w:tcBorders>
            <w:shd w:val="clear" w:color="auto" w:fill="auto"/>
            <w:vAlign w:val="center"/>
            <w:hideMark/>
          </w:tcPr>
          <w:p w14:paraId="0B39920F"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SAŽETAK RAČUNA PRIHODA I RASHODA</w:t>
            </w:r>
          </w:p>
        </w:tc>
      </w:tr>
      <w:tr w:rsidR="001738AF" w:rsidRPr="001738AF" w14:paraId="71BC8AF5" w14:textId="77777777" w:rsidTr="001738AF">
        <w:trPr>
          <w:trHeight w:val="240"/>
        </w:trPr>
        <w:tc>
          <w:tcPr>
            <w:tcW w:w="1475" w:type="pct"/>
            <w:tcBorders>
              <w:top w:val="nil"/>
              <w:left w:val="nil"/>
              <w:bottom w:val="nil"/>
              <w:right w:val="nil"/>
            </w:tcBorders>
            <w:shd w:val="clear" w:color="auto" w:fill="auto"/>
            <w:vAlign w:val="center"/>
            <w:hideMark/>
          </w:tcPr>
          <w:p w14:paraId="65FDE7FA" w14:textId="77777777" w:rsidR="001738AF" w:rsidRPr="001738AF" w:rsidRDefault="001738AF" w:rsidP="001738AF">
            <w:pPr>
              <w:widowControl/>
              <w:autoSpaceDE/>
              <w:autoSpaceDN/>
              <w:adjustRightInd/>
              <w:jc w:val="center"/>
              <w:rPr>
                <w:rFonts w:cs="Arial"/>
                <w:b/>
                <w:bCs/>
                <w:color w:val="000000"/>
                <w:sz w:val="18"/>
                <w:szCs w:val="18"/>
              </w:rPr>
            </w:pPr>
          </w:p>
        </w:tc>
        <w:tc>
          <w:tcPr>
            <w:tcW w:w="659" w:type="pct"/>
            <w:tcBorders>
              <w:top w:val="nil"/>
              <w:left w:val="nil"/>
              <w:bottom w:val="nil"/>
              <w:right w:val="nil"/>
            </w:tcBorders>
            <w:shd w:val="clear" w:color="auto" w:fill="auto"/>
            <w:vAlign w:val="center"/>
            <w:hideMark/>
          </w:tcPr>
          <w:p w14:paraId="58B94134"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56074A7F"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70C1C579" w14:textId="77777777" w:rsidR="001738AF" w:rsidRPr="001738AF" w:rsidRDefault="001738AF" w:rsidP="001738AF">
            <w:pPr>
              <w:widowControl/>
              <w:autoSpaceDE/>
              <w:autoSpaceDN/>
              <w:adjustRightInd/>
              <w:jc w:val="center"/>
              <w:rPr>
                <w:rFonts w:ascii="Times New Roman" w:hAnsi="Times New Roman"/>
                <w:sz w:val="20"/>
                <w:szCs w:val="20"/>
              </w:rPr>
            </w:pPr>
          </w:p>
        </w:tc>
        <w:tc>
          <w:tcPr>
            <w:tcW w:w="659" w:type="pct"/>
            <w:tcBorders>
              <w:top w:val="nil"/>
              <w:left w:val="nil"/>
              <w:bottom w:val="nil"/>
              <w:right w:val="nil"/>
            </w:tcBorders>
            <w:shd w:val="clear" w:color="auto" w:fill="auto"/>
            <w:vAlign w:val="center"/>
            <w:hideMark/>
          </w:tcPr>
          <w:p w14:paraId="54C19CE8"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62" w:type="pct"/>
            <w:tcBorders>
              <w:top w:val="nil"/>
              <w:left w:val="nil"/>
              <w:bottom w:val="nil"/>
              <w:right w:val="nil"/>
            </w:tcBorders>
            <w:shd w:val="clear" w:color="auto" w:fill="auto"/>
            <w:vAlign w:val="center"/>
            <w:hideMark/>
          </w:tcPr>
          <w:p w14:paraId="22AD4421"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6C1B6347" w14:textId="77777777" w:rsidR="001738AF" w:rsidRPr="001738AF" w:rsidRDefault="001738AF" w:rsidP="001738AF">
            <w:pPr>
              <w:widowControl/>
              <w:autoSpaceDE/>
              <w:autoSpaceDN/>
              <w:adjustRightInd/>
              <w:jc w:val="center"/>
              <w:rPr>
                <w:rFonts w:ascii="Times New Roman" w:hAnsi="Times New Roman"/>
                <w:sz w:val="20"/>
                <w:szCs w:val="20"/>
              </w:rPr>
            </w:pPr>
          </w:p>
        </w:tc>
      </w:tr>
      <w:tr w:rsidR="001738AF" w:rsidRPr="001738AF" w14:paraId="4492BB23" w14:textId="77777777" w:rsidTr="001738AF">
        <w:trPr>
          <w:trHeight w:val="825"/>
        </w:trPr>
        <w:tc>
          <w:tcPr>
            <w:tcW w:w="1475"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92BD60F"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c>
          <w:tcPr>
            <w:tcW w:w="659" w:type="pct"/>
            <w:tcBorders>
              <w:top w:val="single" w:sz="4" w:space="0" w:color="auto"/>
              <w:left w:val="nil"/>
              <w:bottom w:val="single" w:sz="4" w:space="0" w:color="auto"/>
              <w:right w:val="single" w:sz="4" w:space="0" w:color="auto"/>
            </w:tcBorders>
            <w:shd w:val="clear" w:color="000000" w:fill="92CDDC"/>
            <w:vAlign w:val="center"/>
            <w:hideMark/>
          </w:tcPr>
          <w:p w14:paraId="51BFDD6E"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- 31.12.2022.</w:t>
            </w:r>
          </w:p>
        </w:tc>
        <w:tc>
          <w:tcPr>
            <w:tcW w:w="541" w:type="pct"/>
            <w:tcBorders>
              <w:top w:val="single" w:sz="4" w:space="0" w:color="auto"/>
              <w:left w:val="nil"/>
              <w:bottom w:val="single" w:sz="4" w:space="0" w:color="auto"/>
              <w:right w:val="single" w:sz="4" w:space="0" w:color="auto"/>
            </w:tcBorders>
            <w:shd w:val="clear" w:color="000000" w:fill="92CDDC"/>
            <w:vAlign w:val="center"/>
            <w:hideMark/>
          </w:tcPr>
          <w:p w14:paraId="489EB8F3"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IZVORNI PLAN ILI REBALANS ZA 2023.</w:t>
            </w:r>
          </w:p>
        </w:tc>
        <w:tc>
          <w:tcPr>
            <w:tcW w:w="541" w:type="pct"/>
            <w:tcBorders>
              <w:top w:val="single" w:sz="4" w:space="0" w:color="auto"/>
              <w:left w:val="nil"/>
              <w:bottom w:val="single" w:sz="4" w:space="0" w:color="auto"/>
              <w:right w:val="single" w:sz="4" w:space="0" w:color="auto"/>
            </w:tcBorders>
            <w:shd w:val="clear" w:color="000000" w:fill="92CDDC"/>
            <w:vAlign w:val="center"/>
            <w:hideMark/>
          </w:tcPr>
          <w:p w14:paraId="0C2A2303"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TEKUĆI PLAN ZA 2023.</w:t>
            </w:r>
          </w:p>
        </w:tc>
        <w:tc>
          <w:tcPr>
            <w:tcW w:w="659" w:type="pct"/>
            <w:tcBorders>
              <w:top w:val="single" w:sz="4" w:space="0" w:color="auto"/>
              <w:left w:val="nil"/>
              <w:bottom w:val="single" w:sz="4" w:space="0" w:color="auto"/>
              <w:right w:val="single" w:sz="4" w:space="0" w:color="auto"/>
            </w:tcBorders>
            <w:shd w:val="clear" w:color="000000" w:fill="92CDDC"/>
            <w:vAlign w:val="center"/>
            <w:hideMark/>
          </w:tcPr>
          <w:p w14:paraId="478DF0A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- 31.12.2023.</w:t>
            </w:r>
          </w:p>
        </w:tc>
        <w:tc>
          <w:tcPr>
            <w:tcW w:w="562" w:type="pct"/>
            <w:tcBorders>
              <w:top w:val="single" w:sz="4" w:space="0" w:color="auto"/>
              <w:left w:val="nil"/>
              <w:bottom w:val="single" w:sz="4" w:space="0" w:color="auto"/>
              <w:right w:val="single" w:sz="4" w:space="0" w:color="auto"/>
            </w:tcBorders>
            <w:shd w:val="clear" w:color="000000" w:fill="92CDDC"/>
            <w:vAlign w:val="center"/>
            <w:hideMark/>
          </w:tcPr>
          <w:p w14:paraId="2B56D45F"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c>
          <w:tcPr>
            <w:tcW w:w="562" w:type="pct"/>
            <w:tcBorders>
              <w:top w:val="single" w:sz="4" w:space="0" w:color="auto"/>
              <w:left w:val="nil"/>
              <w:bottom w:val="single" w:sz="4" w:space="0" w:color="auto"/>
              <w:right w:val="single" w:sz="4" w:space="0" w:color="auto"/>
            </w:tcBorders>
            <w:shd w:val="clear" w:color="000000" w:fill="92CDDC"/>
            <w:vAlign w:val="center"/>
            <w:hideMark/>
          </w:tcPr>
          <w:p w14:paraId="3D1E0AD7"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r>
      <w:tr w:rsidR="001738AF" w:rsidRPr="001738AF" w14:paraId="561D2C15" w14:textId="77777777" w:rsidTr="001738AF">
        <w:trPr>
          <w:trHeight w:val="240"/>
        </w:trPr>
        <w:tc>
          <w:tcPr>
            <w:tcW w:w="1475" w:type="pct"/>
            <w:tcBorders>
              <w:top w:val="nil"/>
              <w:left w:val="single" w:sz="4" w:space="0" w:color="auto"/>
              <w:bottom w:val="single" w:sz="4" w:space="0" w:color="auto"/>
              <w:right w:val="single" w:sz="4" w:space="0" w:color="auto"/>
            </w:tcBorders>
            <w:shd w:val="clear" w:color="000000" w:fill="92CDDC"/>
            <w:noWrap/>
            <w:vAlign w:val="center"/>
            <w:hideMark/>
          </w:tcPr>
          <w:p w14:paraId="4C22102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 </w:t>
            </w:r>
          </w:p>
        </w:tc>
        <w:tc>
          <w:tcPr>
            <w:tcW w:w="659" w:type="pct"/>
            <w:tcBorders>
              <w:top w:val="nil"/>
              <w:left w:val="nil"/>
              <w:bottom w:val="single" w:sz="4" w:space="0" w:color="auto"/>
              <w:right w:val="single" w:sz="4" w:space="0" w:color="auto"/>
            </w:tcBorders>
            <w:shd w:val="clear" w:color="000000" w:fill="92CDDC"/>
            <w:noWrap/>
            <w:vAlign w:val="center"/>
            <w:hideMark/>
          </w:tcPr>
          <w:p w14:paraId="51D33562"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1</w:t>
            </w:r>
          </w:p>
        </w:tc>
        <w:tc>
          <w:tcPr>
            <w:tcW w:w="541" w:type="pct"/>
            <w:tcBorders>
              <w:top w:val="nil"/>
              <w:left w:val="nil"/>
              <w:bottom w:val="single" w:sz="4" w:space="0" w:color="auto"/>
              <w:right w:val="single" w:sz="4" w:space="0" w:color="auto"/>
            </w:tcBorders>
            <w:shd w:val="clear" w:color="000000" w:fill="92CDDC"/>
            <w:noWrap/>
            <w:vAlign w:val="center"/>
            <w:hideMark/>
          </w:tcPr>
          <w:p w14:paraId="2EB3E2CB"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2</w:t>
            </w:r>
          </w:p>
        </w:tc>
        <w:tc>
          <w:tcPr>
            <w:tcW w:w="541" w:type="pct"/>
            <w:tcBorders>
              <w:top w:val="nil"/>
              <w:left w:val="nil"/>
              <w:bottom w:val="single" w:sz="4" w:space="0" w:color="auto"/>
              <w:right w:val="single" w:sz="4" w:space="0" w:color="auto"/>
            </w:tcBorders>
            <w:shd w:val="clear" w:color="000000" w:fill="92CDDC"/>
            <w:noWrap/>
            <w:vAlign w:val="center"/>
            <w:hideMark/>
          </w:tcPr>
          <w:p w14:paraId="461058B1"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3</w:t>
            </w:r>
          </w:p>
        </w:tc>
        <w:tc>
          <w:tcPr>
            <w:tcW w:w="659" w:type="pct"/>
            <w:tcBorders>
              <w:top w:val="nil"/>
              <w:left w:val="nil"/>
              <w:bottom w:val="single" w:sz="4" w:space="0" w:color="auto"/>
              <w:right w:val="single" w:sz="4" w:space="0" w:color="auto"/>
            </w:tcBorders>
            <w:shd w:val="clear" w:color="000000" w:fill="92CDDC"/>
            <w:noWrap/>
            <w:vAlign w:val="center"/>
            <w:hideMark/>
          </w:tcPr>
          <w:p w14:paraId="7C275B0F"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4</w:t>
            </w:r>
          </w:p>
        </w:tc>
        <w:tc>
          <w:tcPr>
            <w:tcW w:w="562" w:type="pct"/>
            <w:tcBorders>
              <w:top w:val="nil"/>
              <w:left w:val="nil"/>
              <w:bottom w:val="single" w:sz="4" w:space="0" w:color="auto"/>
              <w:right w:val="single" w:sz="4" w:space="0" w:color="auto"/>
            </w:tcBorders>
            <w:shd w:val="clear" w:color="000000" w:fill="92CDDC"/>
            <w:noWrap/>
            <w:vAlign w:val="center"/>
            <w:hideMark/>
          </w:tcPr>
          <w:p w14:paraId="0CDD49B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5 (4/1)*100</w:t>
            </w:r>
          </w:p>
        </w:tc>
        <w:tc>
          <w:tcPr>
            <w:tcW w:w="562" w:type="pct"/>
            <w:tcBorders>
              <w:top w:val="nil"/>
              <w:left w:val="nil"/>
              <w:bottom w:val="single" w:sz="4" w:space="0" w:color="auto"/>
              <w:right w:val="single" w:sz="4" w:space="0" w:color="auto"/>
            </w:tcBorders>
            <w:shd w:val="clear" w:color="000000" w:fill="92CDDC"/>
            <w:noWrap/>
            <w:vAlign w:val="center"/>
            <w:hideMark/>
          </w:tcPr>
          <w:p w14:paraId="206176F4"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6 (4/3)*100</w:t>
            </w:r>
          </w:p>
        </w:tc>
      </w:tr>
      <w:tr w:rsidR="001738AF" w:rsidRPr="001738AF" w14:paraId="51D7EC67" w14:textId="77777777" w:rsidTr="001738AF">
        <w:trPr>
          <w:trHeight w:val="300"/>
        </w:trPr>
        <w:tc>
          <w:tcPr>
            <w:tcW w:w="1475" w:type="pct"/>
            <w:tcBorders>
              <w:top w:val="single" w:sz="4" w:space="0" w:color="95B3D7"/>
              <w:left w:val="single" w:sz="4" w:space="0" w:color="auto"/>
              <w:bottom w:val="single" w:sz="4" w:space="0" w:color="auto"/>
              <w:right w:val="single" w:sz="4" w:space="0" w:color="auto"/>
            </w:tcBorders>
            <w:shd w:val="clear" w:color="auto" w:fill="auto"/>
            <w:vAlign w:val="bottom"/>
            <w:hideMark/>
          </w:tcPr>
          <w:p w14:paraId="3830F95F"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6 PRIHODI POSLOVANJA</w:t>
            </w:r>
          </w:p>
        </w:tc>
        <w:tc>
          <w:tcPr>
            <w:tcW w:w="659" w:type="pct"/>
            <w:tcBorders>
              <w:top w:val="single" w:sz="4" w:space="0" w:color="95B3D7"/>
              <w:left w:val="single" w:sz="4" w:space="0" w:color="auto"/>
              <w:bottom w:val="single" w:sz="4" w:space="0" w:color="auto"/>
              <w:right w:val="single" w:sz="4" w:space="0" w:color="95B3D7"/>
            </w:tcBorders>
            <w:shd w:val="clear" w:color="auto" w:fill="auto"/>
            <w:vAlign w:val="bottom"/>
            <w:hideMark/>
          </w:tcPr>
          <w:p w14:paraId="49DB7FE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 xml:space="preserve">10.836.049,14 </w:t>
            </w:r>
          </w:p>
        </w:tc>
        <w:tc>
          <w:tcPr>
            <w:tcW w:w="541" w:type="pct"/>
            <w:tcBorders>
              <w:top w:val="single" w:sz="4" w:space="0" w:color="95B3D7"/>
              <w:left w:val="nil"/>
              <w:bottom w:val="single" w:sz="4" w:space="0" w:color="auto"/>
              <w:right w:val="nil"/>
            </w:tcBorders>
            <w:shd w:val="clear" w:color="auto" w:fill="auto"/>
            <w:vAlign w:val="bottom"/>
            <w:hideMark/>
          </w:tcPr>
          <w:p w14:paraId="04C6012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14.309.247</w:t>
            </w:r>
          </w:p>
        </w:tc>
        <w:tc>
          <w:tcPr>
            <w:tcW w:w="541" w:type="pct"/>
            <w:tcBorders>
              <w:top w:val="single" w:sz="4" w:space="0" w:color="95B3D7"/>
              <w:left w:val="single" w:sz="4" w:space="0" w:color="95B3D7"/>
              <w:bottom w:val="single" w:sz="4" w:space="0" w:color="auto"/>
              <w:right w:val="single" w:sz="4" w:space="0" w:color="95B3D7"/>
            </w:tcBorders>
            <w:shd w:val="clear" w:color="auto" w:fill="auto"/>
            <w:vAlign w:val="bottom"/>
            <w:hideMark/>
          </w:tcPr>
          <w:p w14:paraId="3B271F4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11.147.425</w:t>
            </w:r>
          </w:p>
        </w:tc>
        <w:tc>
          <w:tcPr>
            <w:tcW w:w="659" w:type="pct"/>
            <w:tcBorders>
              <w:top w:val="single" w:sz="4" w:space="0" w:color="95B3D7"/>
              <w:left w:val="nil"/>
              <w:bottom w:val="single" w:sz="4" w:space="0" w:color="auto"/>
              <w:right w:val="nil"/>
            </w:tcBorders>
            <w:shd w:val="clear" w:color="auto" w:fill="auto"/>
            <w:vAlign w:val="bottom"/>
            <w:hideMark/>
          </w:tcPr>
          <w:p w14:paraId="66E7555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11.030.221,04</w:t>
            </w:r>
          </w:p>
        </w:tc>
        <w:tc>
          <w:tcPr>
            <w:tcW w:w="562" w:type="pct"/>
            <w:tcBorders>
              <w:top w:val="single" w:sz="4" w:space="0" w:color="95B3D7"/>
              <w:left w:val="single" w:sz="4" w:space="0" w:color="95B3D7"/>
              <w:bottom w:val="single" w:sz="4" w:space="0" w:color="auto"/>
              <w:right w:val="single" w:sz="4" w:space="0" w:color="95B3D7"/>
            </w:tcBorders>
            <w:shd w:val="clear" w:color="auto" w:fill="auto"/>
            <w:vAlign w:val="bottom"/>
            <w:hideMark/>
          </w:tcPr>
          <w:p w14:paraId="53C191B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101,79</w:t>
            </w:r>
          </w:p>
        </w:tc>
        <w:tc>
          <w:tcPr>
            <w:tcW w:w="562" w:type="pct"/>
            <w:tcBorders>
              <w:top w:val="single" w:sz="4" w:space="0" w:color="95B3D7"/>
              <w:left w:val="nil"/>
              <w:bottom w:val="single" w:sz="4" w:space="0" w:color="auto"/>
              <w:right w:val="single" w:sz="4" w:space="0" w:color="auto"/>
            </w:tcBorders>
            <w:shd w:val="clear" w:color="auto" w:fill="auto"/>
            <w:vAlign w:val="bottom"/>
            <w:hideMark/>
          </w:tcPr>
          <w:p w14:paraId="440012A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98,95</w:t>
            </w:r>
          </w:p>
        </w:tc>
      </w:tr>
      <w:tr w:rsidR="001738AF" w:rsidRPr="001738AF" w14:paraId="1B80722E" w14:textId="77777777" w:rsidTr="001738AF">
        <w:trPr>
          <w:trHeight w:val="300"/>
        </w:trPr>
        <w:tc>
          <w:tcPr>
            <w:tcW w:w="1475" w:type="pct"/>
            <w:tcBorders>
              <w:top w:val="nil"/>
              <w:left w:val="single" w:sz="4" w:space="0" w:color="auto"/>
              <w:bottom w:val="single" w:sz="4" w:space="0" w:color="auto"/>
              <w:right w:val="single" w:sz="4" w:space="0" w:color="auto"/>
            </w:tcBorders>
            <w:shd w:val="clear" w:color="auto" w:fill="auto"/>
            <w:vAlign w:val="bottom"/>
            <w:hideMark/>
          </w:tcPr>
          <w:p w14:paraId="6395088D"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7 PRIHODI OD PRODAJE NEFINACIJSKE IMOVINE</w:t>
            </w:r>
          </w:p>
        </w:tc>
        <w:tc>
          <w:tcPr>
            <w:tcW w:w="659" w:type="pct"/>
            <w:tcBorders>
              <w:top w:val="single" w:sz="4" w:space="0" w:color="auto"/>
              <w:left w:val="single" w:sz="4" w:space="0" w:color="auto"/>
              <w:bottom w:val="single" w:sz="4" w:space="0" w:color="auto"/>
              <w:right w:val="single" w:sz="4" w:space="0" w:color="95B3D7"/>
            </w:tcBorders>
            <w:shd w:val="clear" w:color="auto" w:fill="auto"/>
            <w:vAlign w:val="bottom"/>
            <w:hideMark/>
          </w:tcPr>
          <w:p w14:paraId="677600F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 xml:space="preserve">0,00 </w:t>
            </w:r>
          </w:p>
        </w:tc>
        <w:tc>
          <w:tcPr>
            <w:tcW w:w="541" w:type="pct"/>
            <w:tcBorders>
              <w:top w:val="nil"/>
              <w:left w:val="nil"/>
              <w:bottom w:val="single" w:sz="4" w:space="0" w:color="auto"/>
              <w:right w:val="nil"/>
            </w:tcBorders>
            <w:shd w:val="clear" w:color="auto" w:fill="auto"/>
            <w:vAlign w:val="bottom"/>
            <w:hideMark/>
          </w:tcPr>
          <w:p w14:paraId="350F9AE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541" w:type="pct"/>
            <w:tcBorders>
              <w:top w:val="single" w:sz="4" w:space="0" w:color="auto"/>
              <w:left w:val="single" w:sz="4" w:space="0" w:color="95B3D7"/>
              <w:bottom w:val="single" w:sz="4" w:space="0" w:color="auto"/>
              <w:right w:val="single" w:sz="4" w:space="0" w:color="95B3D7"/>
            </w:tcBorders>
            <w:shd w:val="clear" w:color="auto" w:fill="auto"/>
            <w:vAlign w:val="bottom"/>
            <w:hideMark/>
          </w:tcPr>
          <w:p w14:paraId="32B5AED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659" w:type="pct"/>
            <w:tcBorders>
              <w:top w:val="nil"/>
              <w:left w:val="nil"/>
              <w:bottom w:val="single" w:sz="4" w:space="0" w:color="auto"/>
              <w:right w:val="nil"/>
            </w:tcBorders>
            <w:shd w:val="clear" w:color="auto" w:fill="auto"/>
            <w:vAlign w:val="bottom"/>
            <w:hideMark/>
          </w:tcPr>
          <w:p w14:paraId="7F002BD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62" w:type="pct"/>
            <w:tcBorders>
              <w:top w:val="single" w:sz="4" w:space="0" w:color="auto"/>
              <w:left w:val="single" w:sz="4" w:space="0" w:color="95B3D7"/>
              <w:bottom w:val="single" w:sz="4" w:space="0" w:color="auto"/>
              <w:right w:val="single" w:sz="4" w:space="0" w:color="95B3D7"/>
            </w:tcBorders>
            <w:shd w:val="clear" w:color="auto" w:fill="auto"/>
            <w:vAlign w:val="bottom"/>
            <w:hideMark/>
          </w:tcPr>
          <w:p w14:paraId="449DCAFD"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 </w:t>
            </w:r>
          </w:p>
        </w:tc>
        <w:tc>
          <w:tcPr>
            <w:tcW w:w="562" w:type="pct"/>
            <w:tcBorders>
              <w:top w:val="nil"/>
              <w:left w:val="nil"/>
              <w:bottom w:val="single" w:sz="4" w:space="0" w:color="auto"/>
              <w:right w:val="single" w:sz="4" w:space="0" w:color="auto"/>
            </w:tcBorders>
            <w:shd w:val="clear" w:color="auto" w:fill="auto"/>
            <w:vAlign w:val="bottom"/>
            <w:hideMark/>
          </w:tcPr>
          <w:p w14:paraId="748132A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r>
      <w:tr w:rsidR="001738AF" w:rsidRPr="001738AF" w14:paraId="1CA47F0C" w14:textId="77777777" w:rsidTr="001738AF">
        <w:trPr>
          <w:trHeight w:val="300"/>
        </w:trPr>
        <w:tc>
          <w:tcPr>
            <w:tcW w:w="1475" w:type="pct"/>
            <w:tcBorders>
              <w:top w:val="single" w:sz="4" w:space="0" w:color="366092"/>
              <w:left w:val="single" w:sz="4" w:space="0" w:color="auto"/>
              <w:bottom w:val="single" w:sz="4" w:space="0" w:color="auto"/>
              <w:right w:val="single" w:sz="4" w:space="0" w:color="auto"/>
            </w:tcBorders>
            <w:shd w:val="clear" w:color="000000" w:fill="DCE6F1"/>
            <w:vAlign w:val="center"/>
            <w:hideMark/>
          </w:tcPr>
          <w:p w14:paraId="29A915F8" w14:textId="77777777" w:rsidR="001738AF" w:rsidRPr="001738AF" w:rsidRDefault="001738AF" w:rsidP="001738AF">
            <w:pPr>
              <w:widowControl/>
              <w:autoSpaceDE/>
              <w:autoSpaceDN/>
              <w:adjustRightInd/>
              <w:jc w:val="left"/>
              <w:rPr>
                <w:rFonts w:cs="Arial"/>
                <w:b/>
                <w:bCs/>
                <w:sz w:val="18"/>
                <w:szCs w:val="18"/>
              </w:rPr>
            </w:pPr>
            <w:r w:rsidRPr="001738AF">
              <w:rPr>
                <w:rFonts w:cs="Arial"/>
                <w:b/>
                <w:bCs/>
                <w:sz w:val="18"/>
                <w:szCs w:val="18"/>
              </w:rPr>
              <w:t>PRIHODI UKUPNO</w:t>
            </w:r>
          </w:p>
        </w:tc>
        <w:tc>
          <w:tcPr>
            <w:tcW w:w="659" w:type="pct"/>
            <w:tcBorders>
              <w:top w:val="single" w:sz="4" w:space="0" w:color="366092"/>
              <w:left w:val="single" w:sz="4" w:space="0" w:color="auto"/>
              <w:bottom w:val="single" w:sz="4" w:space="0" w:color="auto"/>
              <w:right w:val="single" w:sz="4" w:space="0" w:color="95B3D7"/>
            </w:tcBorders>
            <w:shd w:val="clear" w:color="000000" w:fill="DCE6F1"/>
            <w:vAlign w:val="bottom"/>
            <w:hideMark/>
          </w:tcPr>
          <w:p w14:paraId="56BC9AF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 xml:space="preserve">10.836.049,14 </w:t>
            </w:r>
          </w:p>
        </w:tc>
        <w:tc>
          <w:tcPr>
            <w:tcW w:w="541" w:type="pct"/>
            <w:tcBorders>
              <w:top w:val="single" w:sz="4" w:space="0" w:color="366092"/>
              <w:left w:val="nil"/>
              <w:bottom w:val="single" w:sz="4" w:space="0" w:color="auto"/>
              <w:right w:val="nil"/>
            </w:tcBorders>
            <w:shd w:val="clear" w:color="000000" w:fill="DCE6F1"/>
            <w:vAlign w:val="bottom"/>
            <w:hideMark/>
          </w:tcPr>
          <w:p w14:paraId="1C91E7B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14.309.247</w:t>
            </w:r>
          </w:p>
        </w:tc>
        <w:tc>
          <w:tcPr>
            <w:tcW w:w="541" w:type="pct"/>
            <w:tcBorders>
              <w:top w:val="single" w:sz="4" w:space="0" w:color="366092"/>
              <w:left w:val="single" w:sz="4" w:space="0" w:color="95B3D7"/>
              <w:bottom w:val="single" w:sz="4" w:space="0" w:color="auto"/>
              <w:right w:val="single" w:sz="4" w:space="0" w:color="95B3D7"/>
            </w:tcBorders>
            <w:shd w:val="clear" w:color="000000" w:fill="DCE6F1"/>
            <w:vAlign w:val="bottom"/>
            <w:hideMark/>
          </w:tcPr>
          <w:p w14:paraId="24727C1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11.147.425</w:t>
            </w:r>
          </w:p>
        </w:tc>
        <w:tc>
          <w:tcPr>
            <w:tcW w:w="659" w:type="pct"/>
            <w:tcBorders>
              <w:top w:val="single" w:sz="4" w:space="0" w:color="366092"/>
              <w:left w:val="nil"/>
              <w:bottom w:val="single" w:sz="4" w:space="0" w:color="auto"/>
              <w:right w:val="nil"/>
            </w:tcBorders>
            <w:shd w:val="clear" w:color="000000" w:fill="DCE6F1"/>
            <w:vAlign w:val="bottom"/>
            <w:hideMark/>
          </w:tcPr>
          <w:p w14:paraId="570E814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11.030.221,04</w:t>
            </w:r>
          </w:p>
        </w:tc>
        <w:tc>
          <w:tcPr>
            <w:tcW w:w="562" w:type="pct"/>
            <w:tcBorders>
              <w:top w:val="single" w:sz="4" w:space="0" w:color="366092"/>
              <w:left w:val="single" w:sz="4" w:space="0" w:color="95B3D7"/>
              <w:bottom w:val="single" w:sz="4" w:space="0" w:color="auto"/>
              <w:right w:val="single" w:sz="4" w:space="0" w:color="95B3D7"/>
            </w:tcBorders>
            <w:shd w:val="clear" w:color="000000" w:fill="DCE6F1"/>
            <w:vAlign w:val="bottom"/>
            <w:hideMark/>
          </w:tcPr>
          <w:p w14:paraId="62833AB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101,79</w:t>
            </w:r>
          </w:p>
        </w:tc>
        <w:tc>
          <w:tcPr>
            <w:tcW w:w="562" w:type="pct"/>
            <w:tcBorders>
              <w:top w:val="single" w:sz="4" w:space="0" w:color="366092"/>
              <w:left w:val="nil"/>
              <w:bottom w:val="single" w:sz="4" w:space="0" w:color="auto"/>
              <w:right w:val="single" w:sz="4" w:space="0" w:color="auto"/>
            </w:tcBorders>
            <w:shd w:val="clear" w:color="000000" w:fill="DCE6F1"/>
            <w:vAlign w:val="bottom"/>
            <w:hideMark/>
          </w:tcPr>
          <w:p w14:paraId="5F7167B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98,95</w:t>
            </w:r>
          </w:p>
        </w:tc>
      </w:tr>
      <w:tr w:rsidR="001738AF" w:rsidRPr="001738AF" w14:paraId="300BAC77" w14:textId="77777777" w:rsidTr="001738AF">
        <w:trPr>
          <w:trHeight w:val="300"/>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AA9F3C"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3 RASHODI  POSLOVANJA</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45ABC39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9.846.414,51</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697C8A4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10.642.122</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69D24FC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10.351.122</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444BCB7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10.185.574,58</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2AC9F20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103,44</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2056767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98,40</w:t>
            </w:r>
          </w:p>
        </w:tc>
      </w:tr>
      <w:tr w:rsidR="001738AF" w:rsidRPr="001738AF" w14:paraId="7DA3CA08" w14:textId="77777777" w:rsidTr="001738AF">
        <w:trPr>
          <w:trHeight w:val="300"/>
        </w:trPr>
        <w:tc>
          <w:tcPr>
            <w:tcW w:w="1475" w:type="pct"/>
            <w:tcBorders>
              <w:top w:val="nil"/>
              <w:left w:val="single" w:sz="4" w:space="0" w:color="auto"/>
              <w:bottom w:val="single" w:sz="4" w:space="0" w:color="auto"/>
              <w:right w:val="single" w:sz="4" w:space="0" w:color="auto"/>
            </w:tcBorders>
            <w:shd w:val="clear" w:color="auto" w:fill="auto"/>
            <w:vAlign w:val="bottom"/>
            <w:hideMark/>
          </w:tcPr>
          <w:p w14:paraId="4AE42706"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4 RASHODI ZA NABAVU NEFINANCIJSKE IMOVINE</w:t>
            </w:r>
          </w:p>
        </w:tc>
        <w:tc>
          <w:tcPr>
            <w:tcW w:w="659" w:type="pct"/>
            <w:tcBorders>
              <w:top w:val="nil"/>
              <w:left w:val="nil"/>
              <w:bottom w:val="single" w:sz="4" w:space="0" w:color="auto"/>
              <w:right w:val="single" w:sz="4" w:space="0" w:color="auto"/>
            </w:tcBorders>
            <w:shd w:val="clear" w:color="auto" w:fill="auto"/>
            <w:vAlign w:val="bottom"/>
            <w:hideMark/>
          </w:tcPr>
          <w:p w14:paraId="2DB9EA3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1.196.292,72</w:t>
            </w:r>
          </w:p>
        </w:tc>
        <w:tc>
          <w:tcPr>
            <w:tcW w:w="541" w:type="pct"/>
            <w:tcBorders>
              <w:top w:val="nil"/>
              <w:left w:val="nil"/>
              <w:bottom w:val="single" w:sz="4" w:space="0" w:color="auto"/>
              <w:right w:val="single" w:sz="4" w:space="0" w:color="auto"/>
            </w:tcBorders>
            <w:shd w:val="clear" w:color="auto" w:fill="auto"/>
            <w:vAlign w:val="bottom"/>
            <w:hideMark/>
          </w:tcPr>
          <w:p w14:paraId="505A51E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3.763.976</w:t>
            </w:r>
          </w:p>
        </w:tc>
        <w:tc>
          <w:tcPr>
            <w:tcW w:w="541" w:type="pct"/>
            <w:tcBorders>
              <w:top w:val="nil"/>
              <w:left w:val="nil"/>
              <w:bottom w:val="single" w:sz="4" w:space="0" w:color="auto"/>
              <w:right w:val="single" w:sz="4" w:space="0" w:color="auto"/>
            </w:tcBorders>
            <w:shd w:val="clear" w:color="auto" w:fill="auto"/>
            <w:vAlign w:val="bottom"/>
            <w:hideMark/>
          </w:tcPr>
          <w:p w14:paraId="3405380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893.154</w:t>
            </w:r>
          </w:p>
        </w:tc>
        <w:tc>
          <w:tcPr>
            <w:tcW w:w="659" w:type="pct"/>
            <w:tcBorders>
              <w:top w:val="nil"/>
              <w:left w:val="nil"/>
              <w:bottom w:val="single" w:sz="4" w:space="0" w:color="auto"/>
              <w:right w:val="single" w:sz="4" w:space="0" w:color="auto"/>
            </w:tcBorders>
            <w:shd w:val="clear" w:color="auto" w:fill="auto"/>
            <w:vAlign w:val="bottom"/>
            <w:hideMark/>
          </w:tcPr>
          <w:p w14:paraId="4742487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876.743,44</w:t>
            </w:r>
          </w:p>
        </w:tc>
        <w:tc>
          <w:tcPr>
            <w:tcW w:w="562" w:type="pct"/>
            <w:tcBorders>
              <w:top w:val="nil"/>
              <w:left w:val="nil"/>
              <w:bottom w:val="single" w:sz="4" w:space="0" w:color="auto"/>
              <w:right w:val="single" w:sz="4" w:space="0" w:color="auto"/>
            </w:tcBorders>
            <w:shd w:val="clear" w:color="auto" w:fill="auto"/>
            <w:vAlign w:val="bottom"/>
            <w:hideMark/>
          </w:tcPr>
          <w:p w14:paraId="54E2EFB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73,29</w:t>
            </w:r>
          </w:p>
        </w:tc>
        <w:tc>
          <w:tcPr>
            <w:tcW w:w="562" w:type="pct"/>
            <w:tcBorders>
              <w:top w:val="nil"/>
              <w:left w:val="nil"/>
              <w:bottom w:val="single" w:sz="4" w:space="0" w:color="auto"/>
              <w:right w:val="single" w:sz="4" w:space="0" w:color="auto"/>
            </w:tcBorders>
            <w:shd w:val="clear" w:color="auto" w:fill="auto"/>
            <w:vAlign w:val="bottom"/>
            <w:hideMark/>
          </w:tcPr>
          <w:p w14:paraId="211354A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98,16</w:t>
            </w:r>
          </w:p>
        </w:tc>
      </w:tr>
      <w:tr w:rsidR="001738AF" w:rsidRPr="001738AF" w14:paraId="49228E53" w14:textId="77777777" w:rsidTr="001738AF">
        <w:trPr>
          <w:trHeight w:val="300"/>
        </w:trPr>
        <w:tc>
          <w:tcPr>
            <w:tcW w:w="1475" w:type="pct"/>
            <w:tcBorders>
              <w:top w:val="nil"/>
              <w:left w:val="single" w:sz="4" w:space="0" w:color="auto"/>
              <w:bottom w:val="single" w:sz="4" w:space="0" w:color="auto"/>
              <w:right w:val="single" w:sz="4" w:space="0" w:color="auto"/>
            </w:tcBorders>
            <w:shd w:val="clear" w:color="000000" w:fill="DCE6F1"/>
            <w:vAlign w:val="center"/>
            <w:hideMark/>
          </w:tcPr>
          <w:p w14:paraId="0F8A91AA" w14:textId="77777777" w:rsidR="001738AF" w:rsidRPr="001738AF" w:rsidRDefault="001738AF" w:rsidP="001738AF">
            <w:pPr>
              <w:widowControl/>
              <w:autoSpaceDE/>
              <w:autoSpaceDN/>
              <w:adjustRightInd/>
              <w:jc w:val="left"/>
              <w:rPr>
                <w:rFonts w:cs="Arial"/>
                <w:b/>
                <w:bCs/>
                <w:sz w:val="18"/>
                <w:szCs w:val="18"/>
              </w:rPr>
            </w:pPr>
            <w:r w:rsidRPr="001738AF">
              <w:rPr>
                <w:rFonts w:cs="Arial"/>
                <w:b/>
                <w:bCs/>
                <w:sz w:val="18"/>
                <w:szCs w:val="18"/>
              </w:rPr>
              <w:t>RASHODI UKUPNO</w:t>
            </w:r>
          </w:p>
        </w:tc>
        <w:tc>
          <w:tcPr>
            <w:tcW w:w="659" w:type="pct"/>
            <w:tcBorders>
              <w:top w:val="nil"/>
              <w:left w:val="nil"/>
              <w:bottom w:val="single" w:sz="4" w:space="0" w:color="auto"/>
              <w:right w:val="single" w:sz="4" w:space="0" w:color="auto"/>
            </w:tcBorders>
            <w:shd w:val="clear" w:color="000000" w:fill="DCE6F1"/>
            <w:vAlign w:val="bottom"/>
            <w:hideMark/>
          </w:tcPr>
          <w:p w14:paraId="5202EAD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11.042.707,23</w:t>
            </w:r>
          </w:p>
        </w:tc>
        <w:tc>
          <w:tcPr>
            <w:tcW w:w="541" w:type="pct"/>
            <w:tcBorders>
              <w:top w:val="nil"/>
              <w:left w:val="nil"/>
              <w:bottom w:val="single" w:sz="4" w:space="0" w:color="auto"/>
              <w:right w:val="single" w:sz="4" w:space="0" w:color="auto"/>
            </w:tcBorders>
            <w:shd w:val="clear" w:color="000000" w:fill="DCE6F1"/>
            <w:vAlign w:val="bottom"/>
            <w:hideMark/>
          </w:tcPr>
          <w:p w14:paraId="54F924C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14.406.098</w:t>
            </w:r>
          </w:p>
        </w:tc>
        <w:tc>
          <w:tcPr>
            <w:tcW w:w="541" w:type="pct"/>
            <w:tcBorders>
              <w:top w:val="nil"/>
              <w:left w:val="nil"/>
              <w:bottom w:val="single" w:sz="4" w:space="0" w:color="auto"/>
              <w:right w:val="single" w:sz="4" w:space="0" w:color="auto"/>
            </w:tcBorders>
            <w:shd w:val="clear" w:color="000000" w:fill="DCE6F1"/>
            <w:vAlign w:val="bottom"/>
            <w:hideMark/>
          </w:tcPr>
          <w:p w14:paraId="750405B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11.244.276</w:t>
            </w:r>
          </w:p>
        </w:tc>
        <w:tc>
          <w:tcPr>
            <w:tcW w:w="659" w:type="pct"/>
            <w:tcBorders>
              <w:top w:val="nil"/>
              <w:left w:val="nil"/>
              <w:bottom w:val="single" w:sz="4" w:space="0" w:color="auto"/>
              <w:right w:val="single" w:sz="4" w:space="0" w:color="auto"/>
            </w:tcBorders>
            <w:shd w:val="clear" w:color="000000" w:fill="DCE6F1"/>
            <w:vAlign w:val="bottom"/>
            <w:hideMark/>
          </w:tcPr>
          <w:p w14:paraId="365BEBC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11.062.318,02</w:t>
            </w:r>
          </w:p>
        </w:tc>
        <w:tc>
          <w:tcPr>
            <w:tcW w:w="562" w:type="pct"/>
            <w:tcBorders>
              <w:top w:val="nil"/>
              <w:left w:val="nil"/>
              <w:bottom w:val="single" w:sz="4" w:space="0" w:color="auto"/>
              <w:right w:val="single" w:sz="4" w:space="0" w:color="auto"/>
            </w:tcBorders>
            <w:shd w:val="clear" w:color="000000" w:fill="DCE6F1"/>
            <w:vAlign w:val="bottom"/>
            <w:hideMark/>
          </w:tcPr>
          <w:p w14:paraId="7F7161B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100,18</w:t>
            </w:r>
          </w:p>
        </w:tc>
        <w:tc>
          <w:tcPr>
            <w:tcW w:w="562" w:type="pct"/>
            <w:tcBorders>
              <w:top w:val="nil"/>
              <w:left w:val="nil"/>
              <w:bottom w:val="single" w:sz="4" w:space="0" w:color="auto"/>
              <w:right w:val="single" w:sz="4" w:space="0" w:color="auto"/>
            </w:tcBorders>
            <w:shd w:val="clear" w:color="000000" w:fill="DCE6F1"/>
            <w:vAlign w:val="bottom"/>
            <w:hideMark/>
          </w:tcPr>
          <w:p w14:paraId="3BBFD38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98,38</w:t>
            </w:r>
          </w:p>
        </w:tc>
      </w:tr>
      <w:tr w:rsidR="001738AF" w:rsidRPr="001738AF" w14:paraId="0E59D87B" w14:textId="77777777" w:rsidTr="001738AF">
        <w:trPr>
          <w:trHeight w:val="240"/>
        </w:trPr>
        <w:tc>
          <w:tcPr>
            <w:tcW w:w="1475" w:type="pct"/>
            <w:tcBorders>
              <w:top w:val="nil"/>
              <w:left w:val="nil"/>
              <w:bottom w:val="nil"/>
              <w:right w:val="nil"/>
            </w:tcBorders>
            <w:shd w:val="clear" w:color="auto" w:fill="auto"/>
            <w:vAlign w:val="center"/>
            <w:hideMark/>
          </w:tcPr>
          <w:p w14:paraId="4DBAED67" w14:textId="77777777" w:rsidR="001738AF" w:rsidRPr="001738AF" w:rsidRDefault="001738AF" w:rsidP="001738AF">
            <w:pPr>
              <w:widowControl/>
              <w:autoSpaceDE/>
              <w:autoSpaceDN/>
              <w:adjustRightInd/>
              <w:jc w:val="right"/>
              <w:rPr>
                <w:rFonts w:ascii="Calibri" w:hAnsi="Calibri" w:cs="Calibri"/>
                <w:b/>
                <w:bCs/>
                <w:color w:val="000000"/>
                <w:sz w:val="18"/>
                <w:szCs w:val="18"/>
              </w:rPr>
            </w:pPr>
          </w:p>
        </w:tc>
        <w:tc>
          <w:tcPr>
            <w:tcW w:w="659" w:type="pct"/>
            <w:tcBorders>
              <w:top w:val="nil"/>
              <w:left w:val="nil"/>
              <w:bottom w:val="nil"/>
              <w:right w:val="nil"/>
            </w:tcBorders>
            <w:shd w:val="clear" w:color="auto" w:fill="auto"/>
            <w:vAlign w:val="center"/>
            <w:hideMark/>
          </w:tcPr>
          <w:p w14:paraId="17326DCC"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04AAFBBC"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center"/>
            <w:hideMark/>
          </w:tcPr>
          <w:p w14:paraId="2E881FDC" w14:textId="77777777" w:rsidR="001738AF" w:rsidRPr="001738AF" w:rsidRDefault="001738AF" w:rsidP="001738AF">
            <w:pPr>
              <w:widowControl/>
              <w:autoSpaceDE/>
              <w:autoSpaceDN/>
              <w:adjustRightInd/>
              <w:jc w:val="center"/>
              <w:rPr>
                <w:rFonts w:ascii="Times New Roman" w:hAnsi="Times New Roman"/>
                <w:sz w:val="20"/>
                <w:szCs w:val="20"/>
              </w:rPr>
            </w:pPr>
          </w:p>
        </w:tc>
        <w:tc>
          <w:tcPr>
            <w:tcW w:w="659" w:type="pct"/>
            <w:tcBorders>
              <w:top w:val="nil"/>
              <w:left w:val="nil"/>
              <w:bottom w:val="nil"/>
              <w:right w:val="nil"/>
            </w:tcBorders>
            <w:shd w:val="clear" w:color="auto" w:fill="auto"/>
            <w:vAlign w:val="center"/>
            <w:hideMark/>
          </w:tcPr>
          <w:p w14:paraId="373AF61E"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62" w:type="pct"/>
            <w:tcBorders>
              <w:top w:val="nil"/>
              <w:left w:val="nil"/>
              <w:bottom w:val="nil"/>
              <w:right w:val="nil"/>
            </w:tcBorders>
            <w:shd w:val="clear" w:color="auto" w:fill="auto"/>
            <w:vAlign w:val="center"/>
            <w:hideMark/>
          </w:tcPr>
          <w:p w14:paraId="6C00A367"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6F89A3B2" w14:textId="77777777" w:rsidR="001738AF" w:rsidRPr="001738AF" w:rsidRDefault="001738AF" w:rsidP="001738AF">
            <w:pPr>
              <w:widowControl/>
              <w:autoSpaceDE/>
              <w:autoSpaceDN/>
              <w:adjustRightInd/>
              <w:jc w:val="center"/>
              <w:rPr>
                <w:rFonts w:ascii="Times New Roman" w:hAnsi="Times New Roman"/>
                <w:sz w:val="20"/>
                <w:szCs w:val="20"/>
              </w:rPr>
            </w:pPr>
          </w:p>
        </w:tc>
      </w:tr>
      <w:tr w:rsidR="001738AF" w:rsidRPr="001738AF" w14:paraId="3AF15E70" w14:textId="77777777" w:rsidTr="001738AF">
        <w:trPr>
          <w:trHeight w:val="240"/>
        </w:trPr>
        <w:tc>
          <w:tcPr>
            <w:tcW w:w="1475" w:type="pct"/>
            <w:tcBorders>
              <w:top w:val="single" w:sz="4" w:space="0" w:color="auto"/>
              <w:left w:val="single" w:sz="4" w:space="0" w:color="auto"/>
              <w:bottom w:val="single" w:sz="4" w:space="0" w:color="auto"/>
              <w:right w:val="single" w:sz="4" w:space="0" w:color="auto"/>
            </w:tcBorders>
            <w:shd w:val="clear" w:color="000000" w:fill="92CDDC"/>
            <w:vAlign w:val="center"/>
            <w:hideMark/>
          </w:tcPr>
          <w:p w14:paraId="27D2A10E" w14:textId="77777777" w:rsidR="001738AF" w:rsidRPr="001738AF" w:rsidRDefault="001738AF" w:rsidP="001738AF">
            <w:pPr>
              <w:widowControl/>
              <w:autoSpaceDE/>
              <w:autoSpaceDN/>
              <w:adjustRightInd/>
              <w:jc w:val="left"/>
              <w:rPr>
                <w:rFonts w:cs="Arial"/>
                <w:b/>
                <w:bCs/>
                <w:sz w:val="18"/>
                <w:szCs w:val="18"/>
              </w:rPr>
            </w:pPr>
            <w:r w:rsidRPr="001738AF">
              <w:rPr>
                <w:rFonts w:cs="Arial"/>
                <w:b/>
                <w:bCs/>
                <w:sz w:val="18"/>
                <w:szCs w:val="18"/>
              </w:rPr>
              <w:t>RAZLIKA - VIŠAK / MANJAK</w:t>
            </w:r>
          </w:p>
        </w:tc>
        <w:tc>
          <w:tcPr>
            <w:tcW w:w="659" w:type="pct"/>
            <w:tcBorders>
              <w:top w:val="single" w:sz="4" w:space="0" w:color="auto"/>
              <w:left w:val="nil"/>
              <w:bottom w:val="single" w:sz="4" w:space="0" w:color="auto"/>
              <w:right w:val="single" w:sz="4" w:space="0" w:color="auto"/>
            </w:tcBorders>
            <w:shd w:val="clear" w:color="000000" w:fill="92CDDC"/>
            <w:vAlign w:val="bottom"/>
            <w:hideMark/>
          </w:tcPr>
          <w:p w14:paraId="56795CA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-206.658,09</w:t>
            </w:r>
          </w:p>
        </w:tc>
        <w:tc>
          <w:tcPr>
            <w:tcW w:w="541" w:type="pct"/>
            <w:tcBorders>
              <w:top w:val="single" w:sz="4" w:space="0" w:color="auto"/>
              <w:left w:val="nil"/>
              <w:bottom w:val="single" w:sz="4" w:space="0" w:color="auto"/>
              <w:right w:val="single" w:sz="4" w:space="0" w:color="auto"/>
            </w:tcBorders>
            <w:shd w:val="clear" w:color="000000" w:fill="92CDDC"/>
            <w:vAlign w:val="bottom"/>
            <w:hideMark/>
          </w:tcPr>
          <w:p w14:paraId="08E4EA0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-96.851</w:t>
            </w:r>
          </w:p>
        </w:tc>
        <w:tc>
          <w:tcPr>
            <w:tcW w:w="541" w:type="pct"/>
            <w:tcBorders>
              <w:top w:val="single" w:sz="4" w:space="0" w:color="auto"/>
              <w:left w:val="nil"/>
              <w:bottom w:val="single" w:sz="4" w:space="0" w:color="auto"/>
              <w:right w:val="single" w:sz="4" w:space="0" w:color="auto"/>
            </w:tcBorders>
            <w:shd w:val="clear" w:color="000000" w:fill="92CDDC"/>
            <w:vAlign w:val="bottom"/>
            <w:hideMark/>
          </w:tcPr>
          <w:p w14:paraId="50F2190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-96.851</w:t>
            </w:r>
          </w:p>
        </w:tc>
        <w:tc>
          <w:tcPr>
            <w:tcW w:w="659" w:type="pct"/>
            <w:tcBorders>
              <w:top w:val="single" w:sz="4" w:space="0" w:color="auto"/>
              <w:left w:val="nil"/>
              <w:bottom w:val="single" w:sz="4" w:space="0" w:color="auto"/>
              <w:right w:val="single" w:sz="4" w:space="0" w:color="auto"/>
            </w:tcBorders>
            <w:shd w:val="clear" w:color="000000" w:fill="92CDDC"/>
            <w:vAlign w:val="bottom"/>
            <w:hideMark/>
          </w:tcPr>
          <w:p w14:paraId="72B80F1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-32.096,98</w:t>
            </w:r>
          </w:p>
        </w:tc>
        <w:tc>
          <w:tcPr>
            <w:tcW w:w="562" w:type="pct"/>
            <w:tcBorders>
              <w:top w:val="single" w:sz="4" w:space="0" w:color="auto"/>
              <w:left w:val="nil"/>
              <w:bottom w:val="single" w:sz="4" w:space="0" w:color="auto"/>
              <w:right w:val="single" w:sz="4" w:space="0" w:color="auto"/>
            </w:tcBorders>
            <w:shd w:val="clear" w:color="000000" w:fill="92CDDC"/>
            <w:vAlign w:val="bottom"/>
            <w:hideMark/>
          </w:tcPr>
          <w:p w14:paraId="1A28D45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15,53</w:t>
            </w:r>
          </w:p>
        </w:tc>
        <w:tc>
          <w:tcPr>
            <w:tcW w:w="562" w:type="pct"/>
            <w:tcBorders>
              <w:top w:val="single" w:sz="4" w:space="0" w:color="auto"/>
              <w:left w:val="nil"/>
              <w:bottom w:val="single" w:sz="4" w:space="0" w:color="auto"/>
              <w:right w:val="single" w:sz="4" w:space="0" w:color="auto"/>
            </w:tcBorders>
            <w:shd w:val="clear" w:color="000000" w:fill="92CDDC"/>
            <w:vAlign w:val="bottom"/>
            <w:hideMark/>
          </w:tcPr>
          <w:p w14:paraId="2B67749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100,00</w:t>
            </w:r>
          </w:p>
        </w:tc>
      </w:tr>
      <w:tr w:rsidR="001738AF" w:rsidRPr="001738AF" w14:paraId="4E64AE62" w14:textId="77777777" w:rsidTr="001738AF">
        <w:trPr>
          <w:trHeight w:val="240"/>
        </w:trPr>
        <w:tc>
          <w:tcPr>
            <w:tcW w:w="1475" w:type="pct"/>
            <w:tcBorders>
              <w:top w:val="nil"/>
              <w:left w:val="nil"/>
              <w:bottom w:val="nil"/>
              <w:right w:val="nil"/>
            </w:tcBorders>
            <w:shd w:val="clear" w:color="auto" w:fill="auto"/>
            <w:vAlign w:val="center"/>
            <w:hideMark/>
          </w:tcPr>
          <w:p w14:paraId="58C0B964" w14:textId="77777777" w:rsidR="001738AF" w:rsidRPr="001738AF" w:rsidRDefault="001738AF" w:rsidP="001738AF">
            <w:pPr>
              <w:widowControl/>
              <w:autoSpaceDE/>
              <w:autoSpaceDN/>
              <w:adjustRightInd/>
              <w:jc w:val="right"/>
              <w:rPr>
                <w:rFonts w:ascii="Calibri" w:hAnsi="Calibri" w:cs="Calibri"/>
                <w:b/>
                <w:bCs/>
                <w:color w:val="000000"/>
                <w:sz w:val="18"/>
                <w:szCs w:val="18"/>
              </w:rPr>
            </w:pPr>
          </w:p>
        </w:tc>
        <w:tc>
          <w:tcPr>
            <w:tcW w:w="659" w:type="pct"/>
            <w:tcBorders>
              <w:top w:val="nil"/>
              <w:left w:val="nil"/>
              <w:bottom w:val="nil"/>
              <w:right w:val="nil"/>
            </w:tcBorders>
            <w:shd w:val="clear" w:color="auto" w:fill="auto"/>
            <w:vAlign w:val="center"/>
            <w:hideMark/>
          </w:tcPr>
          <w:p w14:paraId="74950ED6"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15671BF5"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2FA8555B" w14:textId="77777777" w:rsidR="001738AF" w:rsidRPr="001738AF" w:rsidRDefault="001738AF" w:rsidP="001738AF">
            <w:pPr>
              <w:widowControl/>
              <w:autoSpaceDE/>
              <w:autoSpaceDN/>
              <w:adjustRightInd/>
              <w:jc w:val="left"/>
              <w:rPr>
                <w:rFonts w:ascii="Times New Roman" w:hAnsi="Times New Roman"/>
                <w:sz w:val="20"/>
                <w:szCs w:val="20"/>
              </w:rPr>
            </w:pPr>
          </w:p>
        </w:tc>
        <w:tc>
          <w:tcPr>
            <w:tcW w:w="659" w:type="pct"/>
            <w:tcBorders>
              <w:top w:val="nil"/>
              <w:left w:val="nil"/>
              <w:bottom w:val="nil"/>
              <w:right w:val="nil"/>
            </w:tcBorders>
            <w:shd w:val="clear" w:color="auto" w:fill="auto"/>
            <w:vAlign w:val="bottom"/>
            <w:hideMark/>
          </w:tcPr>
          <w:p w14:paraId="67DF453E"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7B705CC5"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20A3FE6F"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3D02CEB7" w14:textId="77777777" w:rsidTr="001738AF">
        <w:trPr>
          <w:trHeight w:val="240"/>
        </w:trPr>
        <w:tc>
          <w:tcPr>
            <w:tcW w:w="5000" w:type="pct"/>
            <w:gridSpan w:val="7"/>
            <w:tcBorders>
              <w:top w:val="nil"/>
              <w:left w:val="nil"/>
              <w:bottom w:val="nil"/>
              <w:right w:val="nil"/>
            </w:tcBorders>
            <w:shd w:val="clear" w:color="auto" w:fill="auto"/>
            <w:vAlign w:val="center"/>
            <w:hideMark/>
          </w:tcPr>
          <w:p w14:paraId="0782B913"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SAŽETAK RAČUNA FINANCIRANJA</w:t>
            </w:r>
          </w:p>
        </w:tc>
      </w:tr>
      <w:tr w:rsidR="001738AF" w:rsidRPr="001738AF" w14:paraId="0A410272" w14:textId="77777777" w:rsidTr="001738AF">
        <w:trPr>
          <w:trHeight w:val="240"/>
        </w:trPr>
        <w:tc>
          <w:tcPr>
            <w:tcW w:w="1475" w:type="pct"/>
            <w:tcBorders>
              <w:top w:val="nil"/>
              <w:left w:val="nil"/>
              <w:bottom w:val="nil"/>
              <w:right w:val="nil"/>
            </w:tcBorders>
            <w:shd w:val="clear" w:color="auto" w:fill="auto"/>
            <w:vAlign w:val="center"/>
            <w:hideMark/>
          </w:tcPr>
          <w:p w14:paraId="2FC120E4" w14:textId="77777777" w:rsidR="001738AF" w:rsidRPr="001738AF" w:rsidRDefault="001738AF" w:rsidP="001738AF">
            <w:pPr>
              <w:widowControl/>
              <w:autoSpaceDE/>
              <w:autoSpaceDN/>
              <w:adjustRightInd/>
              <w:jc w:val="center"/>
              <w:rPr>
                <w:rFonts w:cs="Arial"/>
                <w:b/>
                <w:bCs/>
                <w:color w:val="000000"/>
                <w:sz w:val="18"/>
                <w:szCs w:val="18"/>
              </w:rPr>
            </w:pPr>
          </w:p>
        </w:tc>
        <w:tc>
          <w:tcPr>
            <w:tcW w:w="659" w:type="pct"/>
            <w:tcBorders>
              <w:top w:val="nil"/>
              <w:left w:val="nil"/>
              <w:bottom w:val="nil"/>
              <w:right w:val="nil"/>
            </w:tcBorders>
            <w:shd w:val="clear" w:color="auto" w:fill="auto"/>
            <w:vAlign w:val="center"/>
            <w:hideMark/>
          </w:tcPr>
          <w:p w14:paraId="1F179F93"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68518E96" w14:textId="77777777" w:rsidR="001738AF" w:rsidRPr="001738AF" w:rsidRDefault="001738AF" w:rsidP="001738AF">
            <w:pPr>
              <w:widowControl/>
              <w:autoSpaceDE/>
              <w:autoSpaceDN/>
              <w:adjustRightInd/>
              <w:jc w:val="center"/>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1BD7F593" w14:textId="77777777" w:rsidR="001738AF" w:rsidRPr="001738AF" w:rsidRDefault="001738AF" w:rsidP="001738AF">
            <w:pPr>
              <w:widowControl/>
              <w:autoSpaceDE/>
              <w:autoSpaceDN/>
              <w:adjustRightInd/>
              <w:jc w:val="left"/>
              <w:rPr>
                <w:rFonts w:ascii="Times New Roman" w:hAnsi="Times New Roman"/>
                <w:sz w:val="20"/>
                <w:szCs w:val="20"/>
              </w:rPr>
            </w:pPr>
          </w:p>
        </w:tc>
        <w:tc>
          <w:tcPr>
            <w:tcW w:w="659" w:type="pct"/>
            <w:tcBorders>
              <w:top w:val="nil"/>
              <w:left w:val="nil"/>
              <w:bottom w:val="nil"/>
              <w:right w:val="nil"/>
            </w:tcBorders>
            <w:shd w:val="clear" w:color="auto" w:fill="auto"/>
            <w:vAlign w:val="bottom"/>
            <w:hideMark/>
          </w:tcPr>
          <w:p w14:paraId="46F4BD27"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36095636"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1F3D35AD"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5A9C872B" w14:textId="77777777" w:rsidTr="001738AF">
        <w:trPr>
          <w:trHeight w:val="720"/>
        </w:trPr>
        <w:tc>
          <w:tcPr>
            <w:tcW w:w="1475"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7B0785A9"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c>
          <w:tcPr>
            <w:tcW w:w="659" w:type="pct"/>
            <w:tcBorders>
              <w:top w:val="single" w:sz="4" w:space="0" w:color="auto"/>
              <w:left w:val="nil"/>
              <w:bottom w:val="single" w:sz="4" w:space="0" w:color="auto"/>
              <w:right w:val="single" w:sz="4" w:space="0" w:color="auto"/>
            </w:tcBorders>
            <w:shd w:val="clear" w:color="000000" w:fill="92CDDC"/>
            <w:vAlign w:val="center"/>
            <w:hideMark/>
          </w:tcPr>
          <w:p w14:paraId="6A9F91B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- 31.12.2022.</w:t>
            </w:r>
          </w:p>
        </w:tc>
        <w:tc>
          <w:tcPr>
            <w:tcW w:w="541" w:type="pct"/>
            <w:tcBorders>
              <w:top w:val="single" w:sz="4" w:space="0" w:color="auto"/>
              <w:left w:val="nil"/>
              <w:bottom w:val="single" w:sz="4" w:space="0" w:color="auto"/>
              <w:right w:val="single" w:sz="4" w:space="0" w:color="auto"/>
            </w:tcBorders>
            <w:shd w:val="clear" w:color="000000" w:fill="92CDDC"/>
            <w:vAlign w:val="center"/>
            <w:hideMark/>
          </w:tcPr>
          <w:p w14:paraId="06A5F3E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IZVORNI PLAN ILI REBALANS ZA 2023.</w:t>
            </w:r>
          </w:p>
        </w:tc>
        <w:tc>
          <w:tcPr>
            <w:tcW w:w="541" w:type="pct"/>
            <w:tcBorders>
              <w:top w:val="single" w:sz="4" w:space="0" w:color="auto"/>
              <w:left w:val="nil"/>
              <w:bottom w:val="single" w:sz="4" w:space="0" w:color="auto"/>
              <w:right w:val="single" w:sz="4" w:space="0" w:color="auto"/>
            </w:tcBorders>
            <w:shd w:val="clear" w:color="000000" w:fill="92CDDC"/>
            <w:vAlign w:val="center"/>
            <w:hideMark/>
          </w:tcPr>
          <w:p w14:paraId="278B616E"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TEKUĆI PLAN ZA 2023.</w:t>
            </w:r>
          </w:p>
        </w:tc>
        <w:tc>
          <w:tcPr>
            <w:tcW w:w="659" w:type="pct"/>
            <w:tcBorders>
              <w:top w:val="single" w:sz="4" w:space="0" w:color="auto"/>
              <w:left w:val="nil"/>
              <w:bottom w:val="single" w:sz="4" w:space="0" w:color="auto"/>
              <w:right w:val="single" w:sz="4" w:space="0" w:color="auto"/>
            </w:tcBorders>
            <w:shd w:val="clear" w:color="000000" w:fill="92CDDC"/>
            <w:vAlign w:val="center"/>
            <w:hideMark/>
          </w:tcPr>
          <w:p w14:paraId="29257162"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- 31.12.2023.</w:t>
            </w:r>
          </w:p>
        </w:tc>
        <w:tc>
          <w:tcPr>
            <w:tcW w:w="562" w:type="pct"/>
            <w:tcBorders>
              <w:top w:val="single" w:sz="4" w:space="0" w:color="auto"/>
              <w:left w:val="nil"/>
              <w:bottom w:val="single" w:sz="4" w:space="0" w:color="auto"/>
              <w:right w:val="single" w:sz="4" w:space="0" w:color="auto"/>
            </w:tcBorders>
            <w:shd w:val="clear" w:color="000000" w:fill="92CDDC"/>
            <w:vAlign w:val="center"/>
            <w:hideMark/>
          </w:tcPr>
          <w:p w14:paraId="1C7B8DD4"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c>
          <w:tcPr>
            <w:tcW w:w="562" w:type="pct"/>
            <w:tcBorders>
              <w:top w:val="single" w:sz="4" w:space="0" w:color="auto"/>
              <w:left w:val="nil"/>
              <w:bottom w:val="single" w:sz="4" w:space="0" w:color="auto"/>
              <w:right w:val="single" w:sz="4" w:space="0" w:color="auto"/>
            </w:tcBorders>
            <w:shd w:val="clear" w:color="000000" w:fill="92CDDC"/>
            <w:vAlign w:val="center"/>
            <w:hideMark/>
          </w:tcPr>
          <w:p w14:paraId="4AFCAD98"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r>
      <w:tr w:rsidR="001738AF" w:rsidRPr="001738AF" w14:paraId="5928467A" w14:textId="77777777" w:rsidTr="001738AF">
        <w:trPr>
          <w:trHeight w:val="240"/>
        </w:trPr>
        <w:tc>
          <w:tcPr>
            <w:tcW w:w="1475" w:type="pct"/>
            <w:tcBorders>
              <w:top w:val="nil"/>
              <w:left w:val="single" w:sz="4" w:space="0" w:color="auto"/>
              <w:bottom w:val="single" w:sz="4" w:space="0" w:color="auto"/>
              <w:right w:val="single" w:sz="4" w:space="0" w:color="auto"/>
            </w:tcBorders>
            <w:shd w:val="clear" w:color="000000" w:fill="92CDDC"/>
            <w:noWrap/>
            <w:vAlign w:val="center"/>
            <w:hideMark/>
          </w:tcPr>
          <w:p w14:paraId="41FA6C7D"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 </w:t>
            </w:r>
          </w:p>
        </w:tc>
        <w:tc>
          <w:tcPr>
            <w:tcW w:w="659" w:type="pct"/>
            <w:tcBorders>
              <w:top w:val="nil"/>
              <w:left w:val="nil"/>
              <w:bottom w:val="single" w:sz="4" w:space="0" w:color="auto"/>
              <w:right w:val="single" w:sz="4" w:space="0" w:color="auto"/>
            </w:tcBorders>
            <w:shd w:val="clear" w:color="000000" w:fill="92CDDC"/>
            <w:noWrap/>
            <w:vAlign w:val="center"/>
            <w:hideMark/>
          </w:tcPr>
          <w:p w14:paraId="3F20D885"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1</w:t>
            </w:r>
          </w:p>
        </w:tc>
        <w:tc>
          <w:tcPr>
            <w:tcW w:w="541" w:type="pct"/>
            <w:tcBorders>
              <w:top w:val="nil"/>
              <w:left w:val="nil"/>
              <w:bottom w:val="single" w:sz="4" w:space="0" w:color="auto"/>
              <w:right w:val="single" w:sz="4" w:space="0" w:color="auto"/>
            </w:tcBorders>
            <w:shd w:val="clear" w:color="000000" w:fill="92CDDC"/>
            <w:noWrap/>
            <w:vAlign w:val="center"/>
            <w:hideMark/>
          </w:tcPr>
          <w:p w14:paraId="6A1F2960"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2</w:t>
            </w:r>
          </w:p>
        </w:tc>
        <w:tc>
          <w:tcPr>
            <w:tcW w:w="541" w:type="pct"/>
            <w:tcBorders>
              <w:top w:val="nil"/>
              <w:left w:val="nil"/>
              <w:bottom w:val="single" w:sz="4" w:space="0" w:color="auto"/>
              <w:right w:val="single" w:sz="4" w:space="0" w:color="auto"/>
            </w:tcBorders>
            <w:shd w:val="clear" w:color="000000" w:fill="92CDDC"/>
            <w:noWrap/>
            <w:vAlign w:val="center"/>
            <w:hideMark/>
          </w:tcPr>
          <w:p w14:paraId="48833785"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3</w:t>
            </w:r>
          </w:p>
        </w:tc>
        <w:tc>
          <w:tcPr>
            <w:tcW w:w="659" w:type="pct"/>
            <w:tcBorders>
              <w:top w:val="nil"/>
              <w:left w:val="nil"/>
              <w:bottom w:val="single" w:sz="4" w:space="0" w:color="auto"/>
              <w:right w:val="single" w:sz="4" w:space="0" w:color="auto"/>
            </w:tcBorders>
            <w:shd w:val="clear" w:color="000000" w:fill="92CDDC"/>
            <w:noWrap/>
            <w:vAlign w:val="center"/>
            <w:hideMark/>
          </w:tcPr>
          <w:p w14:paraId="6CF5B584"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4</w:t>
            </w:r>
          </w:p>
        </w:tc>
        <w:tc>
          <w:tcPr>
            <w:tcW w:w="562" w:type="pct"/>
            <w:tcBorders>
              <w:top w:val="nil"/>
              <w:left w:val="nil"/>
              <w:bottom w:val="single" w:sz="4" w:space="0" w:color="auto"/>
              <w:right w:val="single" w:sz="4" w:space="0" w:color="auto"/>
            </w:tcBorders>
            <w:shd w:val="clear" w:color="000000" w:fill="92CDDC"/>
            <w:noWrap/>
            <w:vAlign w:val="center"/>
            <w:hideMark/>
          </w:tcPr>
          <w:p w14:paraId="29417EBE"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5 (4/1)*100</w:t>
            </w:r>
          </w:p>
        </w:tc>
        <w:tc>
          <w:tcPr>
            <w:tcW w:w="562" w:type="pct"/>
            <w:tcBorders>
              <w:top w:val="nil"/>
              <w:left w:val="nil"/>
              <w:bottom w:val="single" w:sz="4" w:space="0" w:color="auto"/>
              <w:right w:val="single" w:sz="4" w:space="0" w:color="auto"/>
            </w:tcBorders>
            <w:shd w:val="clear" w:color="000000" w:fill="92CDDC"/>
            <w:noWrap/>
            <w:vAlign w:val="center"/>
            <w:hideMark/>
          </w:tcPr>
          <w:p w14:paraId="50A8072E"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6 (4/3)*100</w:t>
            </w:r>
          </w:p>
        </w:tc>
      </w:tr>
      <w:tr w:rsidR="001738AF" w:rsidRPr="001738AF" w14:paraId="3C943077" w14:textId="77777777" w:rsidTr="001738AF">
        <w:trPr>
          <w:trHeight w:val="495"/>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249D32"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8 PRIMICI OD FINANCIJSKE IMOVINE I ZADUŽIVANJA</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0CAF701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416AFB0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402D97A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3020E16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787300AE" w14:textId="61D9670D"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6EEE071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r>
      <w:tr w:rsidR="001738AF" w:rsidRPr="001738AF" w14:paraId="1D9613EE" w14:textId="77777777" w:rsidTr="001738AF">
        <w:trPr>
          <w:trHeight w:val="495"/>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1416FB"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5 IZDACI ZA FINANCIJSKU IMOVINU I OTPLATE ZAJMOVA</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49C2552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3F4A8FD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2A7C110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74A70E8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47E5B6C6" w14:textId="524D610A"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52A1A07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r>
      <w:tr w:rsidR="001738AF" w:rsidRPr="001738AF" w14:paraId="7F0168B5" w14:textId="77777777" w:rsidTr="001738AF">
        <w:trPr>
          <w:trHeight w:val="300"/>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87605D"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PRIJENOS SREDSTAVA IZ PRETHODNE GODINE</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61888D8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303.509,13</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4EAA414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96.851</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7497BE7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96.851</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7C740FA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96.851,04</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0B8AAF0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31,91</w:t>
            </w:r>
          </w:p>
        </w:tc>
        <w:tc>
          <w:tcPr>
            <w:tcW w:w="562" w:type="pct"/>
            <w:tcBorders>
              <w:top w:val="single" w:sz="4" w:space="0" w:color="auto"/>
              <w:left w:val="nil"/>
              <w:bottom w:val="single" w:sz="4" w:space="0" w:color="auto"/>
              <w:right w:val="single" w:sz="4" w:space="0" w:color="auto"/>
            </w:tcBorders>
            <w:shd w:val="clear" w:color="000000" w:fill="FFFFFF"/>
            <w:vAlign w:val="bottom"/>
            <w:hideMark/>
          </w:tcPr>
          <w:p w14:paraId="62695C2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100,00</w:t>
            </w:r>
          </w:p>
        </w:tc>
      </w:tr>
      <w:tr w:rsidR="001738AF" w:rsidRPr="001738AF" w14:paraId="7F4EB511" w14:textId="77777777" w:rsidTr="001738AF">
        <w:trPr>
          <w:trHeight w:val="300"/>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1AE375" w14:textId="77777777" w:rsidR="001738AF" w:rsidRPr="001738AF" w:rsidRDefault="001738AF" w:rsidP="001738AF">
            <w:pPr>
              <w:widowControl/>
              <w:autoSpaceDE/>
              <w:autoSpaceDN/>
              <w:adjustRightInd/>
              <w:jc w:val="left"/>
              <w:rPr>
                <w:rFonts w:ascii="Calibri" w:hAnsi="Calibri" w:cs="Calibri"/>
                <w:color w:val="000000"/>
                <w:sz w:val="18"/>
                <w:szCs w:val="18"/>
              </w:rPr>
            </w:pPr>
            <w:r w:rsidRPr="001738AF">
              <w:rPr>
                <w:rFonts w:ascii="Calibri" w:hAnsi="Calibri" w:cs="Calibri"/>
                <w:color w:val="000000"/>
                <w:sz w:val="18"/>
                <w:szCs w:val="18"/>
              </w:rPr>
              <w:t>PRIJENOS SREDSTAVA U SLJEDEĆU GODINU</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4694FB8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96.851,04</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5C819BB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7340A8F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w:t>
            </w:r>
          </w:p>
        </w:tc>
        <w:tc>
          <w:tcPr>
            <w:tcW w:w="659" w:type="pct"/>
            <w:tcBorders>
              <w:top w:val="single" w:sz="4" w:space="0" w:color="auto"/>
              <w:left w:val="nil"/>
              <w:bottom w:val="single" w:sz="4" w:space="0" w:color="auto"/>
              <w:right w:val="single" w:sz="4" w:space="0" w:color="auto"/>
            </w:tcBorders>
            <w:shd w:val="clear" w:color="auto" w:fill="auto"/>
            <w:vAlign w:val="bottom"/>
            <w:hideMark/>
          </w:tcPr>
          <w:p w14:paraId="129F80A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64.754,06</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0C18181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66,86</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1360B00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0,00</w:t>
            </w:r>
          </w:p>
        </w:tc>
      </w:tr>
      <w:tr w:rsidR="001738AF" w:rsidRPr="001738AF" w14:paraId="5D989783" w14:textId="77777777" w:rsidTr="001738AF">
        <w:trPr>
          <w:trHeight w:val="240"/>
        </w:trPr>
        <w:tc>
          <w:tcPr>
            <w:tcW w:w="1475" w:type="pct"/>
            <w:tcBorders>
              <w:top w:val="nil"/>
              <w:left w:val="nil"/>
              <w:bottom w:val="nil"/>
              <w:right w:val="nil"/>
            </w:tcBorders>
            <w:shd w:val="clear" w:color="auto" w:fill="auto"/>
            <w:vAlign w:val="bottom"/>
            <w:hideMark/>
          </w:tcPr>
          <w:p w14:paraId="09853EEC" w14:textId="77777777" w:rsidR="001738AF" w:rsidRPr="001738AF" w:rsidRDefault="001738AF" w:rsidP="001738AF">
            <w:pPr>
              <w:widowControl/>
              <w:autoSpaceDE/>
              <w:autoSpaceDN/>
              <w:adjustRightInd/>
              <w:jc w:val="right"/>
              <w:rPr>
                <w:rFonts w:ascii="Calibri" w:hAnsi="Calibri" w:cs="Calibri"/>
                <w:color w:val="000000"/>
                <w:sz w:val="18"/>
                <w:szCs w:val="18"/>
              </w:rPr>
            </w:pPr>
          </w:p>
        </w:tc>
        <w:tc>
          <w:tcPr>
            <w:tcW w:w="659" w:type="pct"/>
            <w:tcBorders>
              <w:top w:val="nil"/>
              <w:left w:val="nil"/>
              <w:bottom w:val="nil"/>
              <w:right w:val="nil"/>
            </w:tcBorders>
            <w:shd w:val="clear" w:color="auto" w:fill="auto"/>
            <w:vAlign w:val="bottom"/>
            <w:hideMark/>
          </w:tcPr>
          <w:p w14:paraId="57CB8D05"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36EDD5E1" w14:textId="77777777" w:rsidR="001738AF" w:rsidRPr="001738AF" w:rsidRDefault="001738AF" w:rsidP="001738AF">
            <w:pPr>
              <w:widowControl/>
              <w:autoSpaceDE/>
              <w:autoSpaceDN/>
              <w:adjustRightInd/>
              <w:jc w:val="left"/>
              <w:rPr>
                <w:rFonts w:ascii="Times New Roman" w:hAnsi="Times New Roman"/>
                <w:sz w:val="20"/>
                <w:szCs w:val="20"/>
              </w:rPr>
            </w:pPr>
          </w:p>
        </w:tc>
        <w:tc>
          <w:tcPr>
            <w:tcW w:w="541" w:type="pct"/>
            <w:tcBorders>
              <w:top w:val="nil"/>
              <w:left w:val="nil"/>
              <w:bottom w:val="nil"/>
              <w:right w:val="nil"/>
            </w:tcBorders>
            <w:shd w:val="clear" w:color="auto" w:fill="auto"/>
            <w:vAlign w:val="bottom"/>
            <w:hideMark/>
          </w:tcPr>
          <w:p w14:paraId="5D32E324" w14:textId="77777777" w:rsidR="001738AF" w:rsidRPr="001738AF" w:rsidRDefault="001738AF" w:rsidP="001738AF">
            <w:pPr>
              <w:widowControl/>
              <w:autoSpaceDE/>
              <w:autoSpaceDN/>
              <w:adjustRightInd/>
              <w:jc w:val="left"/>
              <w:rPr>
                <w:rFonts w:ascii="Times New Roman" w:hAnsi="Times New Roman"/>
                <w:sz w:val="20"/>
                <w:szCs w:val="20"/>
              </w:rPr>
            </w:pPr>
          </w:p>
        </w:tc>
        <w:tc>
          <w:tcPr>
            <w:tcW w:w="659" w:type="pct"/>
            <w:tcBorders>
              <w:top w:val="nil"/>
              <w:left w:val="nil"/>
              <w:bottom w:val="nil"/>
              <w:right w:val="nil"/>
            </w:tcBorders>
            <w:shd w:val="clear" w:color="auto" w:fill="auto"/>
            <w:vAlign w:val="bottom"/>
            <w:hideMark/>
          </w:tcPr>
          <w:p w14:paraId="0440C415"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43AF119A" w14:textId="77777777" w:rsidR="001738AF" w:rsidRPr="001738AF" w:rsidRDefault="001738AF" w:rsidP="001738AF">
            <w:pPr>
              <w:widowControl/>
              <w:autoSpaceDE/>
              <w:autoSpaceDN/>
              <w:adjustRightInd/>
              <w:jc w:val="left"/>
              <w:rPr>
                <w:rFonts w:ascii="Times New Roman" w:hAnsi="Times New Roman"/>
                <w:sz w:val="20"/>
                <w:szCs w:val="20"/>
              </w:rPr>
            </w:pPr>
          </w:p>
        </w:tc>
        <w:tc>
          <w:tcPr>
            <w:tcW w:w="562" w:type="pct"/>
            <w:tcBorders>
              <w:top w:val="nil"/>
              <w:left w:val="nil"/>
              <w:bottom w:val="nil"/>
              <w:right w:val="nil"/>
            </w:tcBorders>
            <w:shd w:val="clear" w:color="auto" w:fill="auto"/>
            <w:vAlign w:val="bottom"/>
            <w:hideMark/>
          </w:tcPr>
          <w:p w14:paraId="2E430EB9"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0DF12848" w14:textId="77777777" w:rsidTr="001738AF">
        <w:trPr>
          <w:trHeight w:val="240"/>
        </w:trPr>
        <w:tc>
          <w:tcPr>
            <w:tcW w:w="1475" w:type="pct"/>
            <w:tcBorders>
              <w:top w:val="single" w:sz="4" w:space="0" w:color="auto"/>
              <w:left w:val="single" w:sz="4" w:space="0" w:color="auto"/>
              <w:bottom w:val="single" w:sz="4" w:space="0" w:color="auto"/>
              <w:right w:val="single" w:sz="4" w:space="0" w:color="auto"/>
            </w:tcBorders>
            <w:shd w:val="clear" w:color="000000" w:fill="92CDDC"/>
            <w:vAlign w:val="center"/>
            <w:hideMark/>
          </w:tcPr>
          <w:p w14:paraId="41F9614B" w14:textId="77777777" w:rsidR="001738AF" w:rsidRPr="001738AF" w:rsidRDefault="001738AF" w:rsidP="001738AF">
            <w:pPr>
              <w:widowControl/>
              <w:autoSpaceDE/>
              <w:autoSpaceDN/>
              <w:adjustRightInd/>
              <w:jc w:val="left"/>
              <w:rPr>
                <w:rFonts w:cs="Arial"/>
                <w:b/>
                <w:bCs/>
                <w:sz w:val="18"/>
                <w:szCs w:val="18"/>
              </w:rPr>
            </w:pPr>
            <w:r w:rsidRPr="001738AF">
              <w:rPr>
                <w:rFonts w:cs="Arial"/>
                <w:b/>
                <w:bCs/>
                <w:sz w:val="18"/>
                <w:szCs w:val="18"/>
              </w:rPr>
              <w:t>NETO FINANCIRANJE</w:t>
            </w:r>
          </w:p>
        </w:tc>
        <w:tc>
          <w:tcPr>
            <w:tcW w:w="659" w:type="pct"/>
            <w:tcBorders>
              <w:top w:val="single" w:sz="4" w:space="0" w:color="auto"/>
              <w:left w:val="nil"/>
              <w:bottom w:val="single" w:sz="4" w:space="0" w:color="auto"/>
              <w:right w:val="single" w:sz="4" w:space="0" w:color="auto"/>
            </w:tcBorders>
            <w:shd w:val="clear" w:color="000000" w:fill="92CDDC"/>
            <w:vAlign w:val="bottom"/>
            <w:hideMark/>
          </w:tcPr>
          <w:p w14:paraId="171658E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206.658,09</w:t>
            </w:r>
          </w:p>
        </w:tc>
        <w:tc>
          <w:tcPr>
            <w:tcW w:w="541" w:type="pct"/>
            <w:tcBorders>
              <w:top w:val="single" w:sz="4" w:space="0" w:color="auto"/>
              <w:left w:val="nil"/>
              <w:bottom w:val="single" w:sz="4" w:space="0" w:color="auto"/>
              <w:right w:val="single" w:sz="4" w:space="0" w:color="auto"/>
            </w:tcBorders>
            <w:shd w:val="clear" w:color="000000" w:fill="92CDDC"/>
            <w:vAlign w:val="bottom"/>
            <w:hideMark/>
          </w:tcPr>
          <w:p w14:paraId="4F5C996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96.851</w:t>
            </w:r>
          </w:p>
        </w:tc>
        <w:tc>
          <w:tcPr>
            <w:tcW w:w="541" w:type="pct"/>
            <w:tcBorders>
              <w:top w:val="single" w:sz="4" w:space="0" w:color="auto"/>
              <w:left w:val="nil"/>
              <w:bottom w:val="single" w:sz="4" w:space="0" w:color="auto"/>
              <w:right w:val="single" w:sz="4" w:space="0" w:color="auto"/>
            </w:tcBorders>
            <w:shd w:val="clear" w:color="000000" w:fill="92CDDC"/>
            <w:vAlign w:val="bottom"/>
            <w:hideMark/>
          </w:tcPr>
          <w:p w14:paraId="2E75492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96.851</w:t>
            </w:r>
          </w:p>
        </w:tc>
        <w:tc>
          <w:tcPr>
            <w:tcW w:w="659" w:type="pct"/>
            <w:tcBorders>
              <w:top w:val="single" w:sz="4" w:space="0" w:color="auto"/>
              <w:left w:val="nil"/>
              <w:bottom w:val="single" w:sz="4" w:space="0" w:color="auto"/>
              <w:right w:val="single" w:sz="4" w:space="0" w:color="auto"/>
            </w:tcBorders>
            <w:shd w:val="clear" w:color="000000" w:fill="92CDDC"/>
            <w:vAlign w:val="bottom"/>
            <w:hideMark/>
          </w:tcPr>
          <w:p w14:paraId="64841D0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32.096,98</w:t>
            </w:r>
          </w:p>
        </w:tc>
        <w:tc>
          <w:tcPr>
            <w:tcW w:w="562" w:type="pct"/>
            <w:tcBorders>
              <w:top w:val="single" w:sz="4" w:space="0" w:color="auto"/>
              <w:left w:val="nil"/>
              <w:bottom w:val="single" w:sz="4" w:space="0" w:color="auto"/>
              <w:right w:val="single" w:sz="4" w:space="0" w:color="auto"/>
            </w:tcBorders>
            <w:shd w:val="clear" w:color="000000" w:fill="92CDDC"/>
            <w:vAlign w:val="bottom"/>
            <w:hideMark/>
          </w:tcPr>
          <w:p w14:paraId="3B59A646"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c>
          <w:tcPr>
            <w:tcW w:w="562" w:type="pct"/>
            <w:tcBorders>
              <w:top w:val="single" w:sz="4" w:space="0" w:color="auto"/>
              <w:left w:val="nil"/>
              <w:bottom w:val="single" w:sz="4" w:space="0" w:color="auto"/>
              <w:right w:val="single" w:sz="4" w:space="0" w:color="auto"/>
            </w:tcBorders>
            <w:shd w:val="clear" w:color="000000" w:fill="92CDDC"/>
            <w:vAlign w:val="bottom"/>
            <w:hideMark/>
          </w:tcPr>
          <w:p w14:paraId="794CAF61"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r>
      <w:tr w:rsidR="001738AF" w:rsidRPr="001738AF" w14:paraId="77A1EA5C" w14:textId="77777777" w:rsidTr="001738AF">
        <w:trPr>
          <w:trHeight w:val="240"/>
        </w:trPr>
        <w:tc>
          <w:tcPr>
            <w:tcW w:w="1475" w:type="pct"/>
            <w:tcBorders>
              <w:top w:val="nil"/>
              <w:left w:val="single" w:sz="4" w:space="0" w:color="auto"/>
              <w:bottom w:val="single" w:sz="4" w:space="0" w:color="auto"/>
              <w:right w:val="single" w:sz="4" w:space="0" w:color="auto"/>
            </w:tcBorders>
            <w:shd w:val="clear" w:color="000000" w:fill="92CDDC"/>
            <w:vAlign w:val="center"/>
            <w:hideMark/>
          </w:tcPr>
          <w:p w14:paraId="77A3185C" w14:textId="77777777" w:rsidR="001738AF" w:rsidRPr="001738AF" w:rsidRDefault="001738AF" w:rsidP="001738AF">
            <w:pPr>
              <w:widowControl/>
              <w:autoSpaceDE/>
              <w:autoSpaceDN/>
              <w:adjustRightInd/>
              <w:jc w:val="left"/>
              <w:rPr>
                <w:rFonts w:cs="Arial"/>
                <w:b/>
                <w:bCs/>
                <w:sz w:val="18"/>
                <w:szCs w:val="18"/>
              </w:rPr>
            </w:pPr>
            <w:r w:rsidRPr="001738AF">
              <w:rPr>
                <w:rFonts w:cs="Arial"/>
                <w:b/>
                <w:bCs/>
                <w:sz w:val="18"/>
                <w:szCs w:val="18"/>
              </w:rPr>
              <w:t>VIŠAK / MANJAK + NETO FINANCIRANJE</w:t>
            </w:r>
          </w:p>
        </w:tc>
        <w:tc>
          <w:tcPr>
            <w:tcW w:w="659" w:type="pct"/>
            <w:tcBorders>
              <w:top w:val="nil"/>
              <w:left w:val="nil"/>
              <w:bottom w:val="single" w:sz="4" w:space="0" w:color="auto"/>
              <w:right w:val="single" w:sz="4" w:space="0" w:color="auto"/>
            </w:tcBorders>
            <w:shd w:val="clear" w:color="000000" w:fill="92CDDC"/>
            <w:vAlign w:val="bottom"/>
            <w:hideMark/>
          </w:tcPr>
          <w:p w14:paraId="46EA893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0,00</w:t>
            </w:r>
          </w:p>
        </w:tc>
        <w:tc>
          <w:tcPr>
            <w:tcW w:w="541" w:type="pct"/>
            <w:tcBorders>
              <w:top w:val="nil"/>
              <w:left w:val="nil"/>
              <w:bottom w:val="single" w:sz="4" w:space="0" w:color="auto"/>
              <w:right w:val="single" w:sz="4" w:space="0" w:color="auto"/>
            </w:tcBorders>
            <w:shd w:val="clear" w:color="000000" w:fill="92CDDC"/>
            <w:vAlign w:val="bottom"/>
            <w:hideMark/>
          </w:tcPr>
          <w:p w14:paraId="2E9DFBB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0</w:t>
            </w:r>
          </w:p>
        </w:tc>
        <w:tc>
          <w:tcPr>
            <w:tcW w:w="541" w:type="pct"/>
            <w:tcBorders>
              <w:top w:val="nil"/>
              <w:left w:val="nil"/>
              <w:bottom w:val="single" w:sz="4" w:space="0" w:color="auto"/>
              <w:right w:val="single" w:sz="4" w:space="0" w:color="auto"/>
            </w:tcBorders>
            <w:shd w:val="clear" w:color="000000" w:fill="92CDDC"/>
            <w:vAlign w:val="bottom"/>
            <w:hideMark/>
          </w:tcPr>
          <w:p w14:paraId="7DCF3A7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0</w:t>
            </w:r>
          </w:p>
        </w:tc>
        <w:tc>
          <w:tcPr>
            <w:tcW w:w="659" w:type="pct"/>
            <w:tcBorders>
              <w:top w:val="nil"/>
              <w:left w:val="nil"/>
              <w:bottom w:val="single" w:sz="4" w:space="0" w:color="auto"/>
              <w:right w:val="single" w:sz="4" w:space="0" w:color="auto"/>
            </w:tcBorders>
            <w:shd w:val="clear" w:color="000000" w:fill="92CDDC"/>
            <w:vAlign w:val="bottom"/>
            <w:hideMark/>
          </w:tcPr>
          <w:p w14:paraId="1202683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0,00</w:t>
            </w:r>
          </w:p>
        </w:tc>
        <w:tc>
          <w:tcPr>
            <w:tcW w:w="562" w:type="pct"/>
            <w:tcBorders>
              <w:top w:val="nil"/>
              <w:left w:val="nil"/>
              <w:bottom w:val="single" w:sz="4" w:space="0" w:color="auto"/>
              <w:right w:val="single" w:sz="4" w:space="0" w:color="auto"/>
            </w:tcBorders>
            <w:shd w:val="clear" w:color="000000" w:fill="92CDDC"/>
            <w:vAlign w:val="bottom"/>
            <w:hideMark/>
          </w:tcPr>
          <w:p w14:paraId="01647AAC"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c>
          <w:tcPr>
            <w:tcW w:w="562" w:type="pct"/>
            <w:tcBorders>
              <w:top w:val="nil"/>
              <w:left w:val="nil"/>
              <w:bottom w:val="single" w:sz="4" w:space="0" w:color="auto"/>
              <w:right w:val="single" w:sz="4" w:space="0" w:color="auto"/>
            </w:tcBorders>
            <w:shd w:val="clear" w:color="000000" w:fill="92CDDC"/>
            <w:vAlign w:val="bottom"/>
            <w:hideMark/>
          </w:tcPr>
          <w:p w14:paraId="06C2BB8E"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 </w:t>
            </w:r>
          </w:p>
        </w:tc>
      </w:tr>
    </w:tbl>
    <w:p w14:paraId="37FA87DA" w14:textId="16E66AA8" w:rsidR="003E687E" w:rsidRPr="003E687E" w:rsidRDefault="003E687E" w:rsidP="00D86DDC">
      <w:pPr>
        <w:spacing w:line="276" w:lineRule="auto"/>
        <w:rPr>
          <w:rFonts w:cs="Arial"/>
        </w:rPr>
      </w:pPr>
    </w:p>
    <w:p w14:paraId="4A8A6F70" w14:textId="77777777" w:rsidR="00D86DDC" w:rsidRDefault="00D86DDC" w:rsidP="003E687E">
      <w:pPr>
        <w:spacing w:line="276" w:lineRule="auto"/>
        <w:rPr>
          <w:rFonts w:cs="Arial"/>
          <w:color w:val="000000" w:themeColor="text1"/>
        </w:rPr>
        <w:sectPr w:rsidR="00D86DDC" w:rsidSect="007C3517">
          <w:footerReference w:type="default" r:id="rId11"/>
          <w:pgSz w:w="11906" w:h="16838" w:code="9"/>
          <w:pgMar w:top="1134" w:right="1134" w:bottom="1134" w:left="1134" w:header="567" w:footer="567" w:gutter="0"/>
          <w:cols w:space="708"/>
          <w:docGrid w:linePitch="360"/>
        </w:sectPr>
      </w:pPr>
    </w:p>
    <w:p w14:paraId="5ABCADE2" w14:textId="3AC4A60F" w:rsidR="003E687E" w:rsidRDefault="003E687E" w:rsidP="003E687E">
      <w:pPr>
        <w:spacing w:line="276" w:lineRule="auto"/>
        <w:rPr>
          <w:rFonts w:cs="Arial"/>
          <w:color w:val="000000" w:themeColor="text1"/>
        </w:rPr>
      </w:pPr>
      <w:r w:rsidRPr="003E687E">
        <w:rPr>
          <w:rFonts w:cs="Arial"/>
          <w:color w:val="000000" w:themeColor="text1"/>
        </w:rPr>
        <w:lastRenderedPageBreak/>
        <w:t>Tablica 2</w:t>
      </w:r>
    </w:p>
    <w:tbl>
      <w:tblPr>
        <w:tblW w:w="15020" w:type="dxa"/>
        <w:tblLook w:val="04A0" w:firstRow="1" w:lastRow="0" w:firstColumn="1" w:lastColumn="0" w:noHBand="0" w:noVBand="1"/>
      </w:tblPr>
      <w:tblGrid>
        <w:gridCol w:w="10191"/>
        <w:gridCol w:w="222"/>
        <w:gridCol w:w="222"/>
        <w:gridCol w:w="222"/>
        <w:gridCol w:w="222"/>
        <w:gridCol w:w="2300"/>
        <w:gridCol w:w="2300"/>
      </w:tblGrid>
      <w:tr w:rsidR="00D86DDC" w:rsidRPr="00D86DDC" w14:paraId="50897E37" w14:textId="77777777" w:rsidTr="00D86DDC">
        <w:trPr>
          <w:trHeight w:val="240"/>
        </w:trPr>
        <w:tc>
          <w:tcPr>
            <w:tcW w:w="15020" w:type="dxa"/>
            <w:gridSpan w:val="7"/>
            <w:tcBorders>
              <w:top w:val="nil"/>
              <w:left w:val="nil"/>
              <w:bottom w:val="nil"/>
              <w:right w:val="nil"/>
            </w:tcBorders>
            <w:shd w:val="clear" w:color="auto" w:fill="auto"/>
            <w:vAlign w:val="center"/>
            <w:hideMark/>
          </w:tcPr>
          <w:p w14:paraId="5FC2D59B" w14:textId="77777777" w:rsidR="00D86DDC" w:rsidRPr="00D86DDC" w:rsidRDefault="00D86DDC" w:rsidP="00D86DDC">
            <w:pPr>
              <w:widowControl/>
              <w:autoSpaceDE/>
              <w:autoSpaceDN/>
              <w:adjustRightInd/>
              <w:jc w:val="center"/>
              <w:rPr>
                <w:rFonts w:cs="Arial"/>
                <w:b/>
                <w:bCs/>
                <w:color w:val="000000"/>
                <w:sz w:val="18"/>
                <w:szCs w:val="18"/>
              </w:rPr>
            </w:pPr>
            <w:r w:rsidRPr="00D86DDC">
              <w:rPr>
                <w:rFonts w:cs="Arial"/>
                <w:b/>
                <w:bCs/>
                <w:color w:val="000000"/>
                <w:sz w:val="18"/>
                <w:szCs w:val="18"/>
              </w:rPr>
              <w:t>1.2. A. RAČUN PRIHODA I RASHODA</w:t>
            </w:r>
          </w:p>
        </w:tc>
      </w:tr>
      <w:tr w:rsidR="00D86DDC" w:rsidRPr="00D86DDC" w14:paraId="67741EDC" w14:textId="77777777" w:rsidTr="00D86DDC">
        <w:trPr>
          <w:trHeight w:val="240"/>
        </w:trPr>
        <w:tc>
          <w:tcPr>
            <w:tcW w:w="10191" w:type="dxa"/>
            <w:tcBorders>
              <w:top w:val="nil"/>
              <w:left w:val="nil"/>
              <w:bottom w:val="nil"/>
              <w:right w:val="nil"/>
            </w:tcBorders>
            <w:shd w:val="clear" w:color="auto" w:fill="auto"/>
            <w:noWrap/>
            <w:vAlign w:val="bottom"/>
            <w:hideMark/>
          </w:tcPr>
          <w:p w14:paraId="45BBD4D4" w14:textId="77777777" w:rsidR="00D86DDC" w:rsidRPr="00D86DDC" w:rsidRDefault="00D86DDC" w:rsidP="00D86DDC">
            <w:pPr>
              <w:widowControl/>
              <w:autoSpaceDE/>
              <w:autoSpaceDN/>
              <w:adjustRightInd/>
              <w:jc w:val="center"/>
              <w:rPr>
                <w:rFonts w:cs="Arial"/>
                <w:b/>
                <w:bCs/>
                <w:color w:val="000000"/>
                <w:sz w:val="18"/>
                <w:szCs w:val="18"/>
              </w:rPr>
            </w:pPr>
          </w:p>
        </w:tc>
        <w:tc>
          <w:tcPr>
            <w:tcW w:w="58" w:type="dxa"/>
            <w:tcBorders>
              <w:top w:val="nil"/>
              <w:left w:val="nil"/>
              <w:bottom w:val="nil"/>
              <w:right w:val="nil"/>
            </w:tcBorders>
            <w:shd w:val="clear" w:color="auto" w:fill="auto"/>
            <w:noWrap/>
            <w:vAlign w:val="bottom"/>
            <w:hideMark/>
          </w:tcPr>
          <w:p w14:paraId="51E0A27B"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31C61DE1"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1875085F"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5CCEF0DD"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noWrap/>
            <w:vAlign w:val="bottom"/>
            <w:hideMark/>
          </w:tcPr>
          <w:p w14:paraId="09FB2BA6"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noWrap/>
            <w:vAlign w:val="bottom"/>
            <w:hideMark/>
          </w:tcPr>
          <w:p w14:paraId="03C63F39" w14:textId="77777777" w:rsidR="00D86DDC" w:rsidRPr="00D86DDC" w:rsidRDefault="00D86DDC" w:rsidP="00D86DDC">
            <w:pPr>
              <w:widowControl/>
              <w:autoSpaceDE/>
              <w:autoSpaceDN/>
              <w:adjustRightInd/>
              <w:jc w:val="left"/>
              <w:rPr>
                <w:rFonts w:ascii="Times New Roman" w:hAnsi="Times New Roman"/>
                <w:sz w:val="20"/>
                <w:szCs w:val="20"/>
              </w:rPr>
            </w:pPr>
          </w:p>
        </w:tc>
      </w:tr>
      <w:tr w:rsidR="00D86DDC" w:rsidRPr="00D86DDC" w14:paraId="1F0C7B2B" w14:textId="77777777" w:rsidTr="00D86DDC">
        <w:trPr>
          <w:trHeight w:val="240"/>
        </w:trPr>
        <w:tc>
          <w:tcPr>
            <w:tcW w:w="15020" w:type="dxa"/>
            <w:gridSpan w:val="7"/>
            <w:tcBorders>
              <w:top w:val="nil"/>
              <w:left w:val="nil"/>
              <w:bottom w:val="nil"/>
              <w:right w:val="nil"/>
            </w:tcBorders>
            <w:shd w:val="clear" w:color="auto" w:fill="auto"/>
            <w:vAlign w:val="center"/>
            <w:hideMark/>
          </w:tcPr>
          <w:p w14:paraId="6CD0BDC1" w14:textId="77777777" w:rsidR="00D86DDC" w:rsidRPr="00D86DDC" w:rsidRDefault="00D86DDC" w:rsidP="00D86DDC">
            <w:pPr>
              <w:widowControl/>
              <w:autoSpaceDE/>
              <w:autoSpaceDN/>
              <w:adjustRightInd/>
              <w:jc w:val="center"/>
              <w:rPr>
                <w:rFonts w:cs="Arial"/>
                <w:b/>
                <w:bCs/>
                <w:color w:val="000000"/>
                <w:sz w:val="18"/>
                <w:szCs w:val="18"/>
              </w:rPr>
            </w:pPr>
            <w:r w:rsidRPr="00D86DDC">
              <w:rPr>
                <w:rFonts w:cs="Arial"/>
                <w:b/>
                <w:bCs/>
                <w:color w:val="000000"/>
                <w:sz w:val="18"/>
                <w:szCs w:val="18"/>
              </w:rPr>
              <w:t>1.2.1. IZVJEŠTAJ O PRIHODIMA I RASHODIMA PREMA EKONOMSKOJ KLASIFIKACIJI</w:t>
            </w:r>
          </w:p>
        </w:tc>
      </w:tr>
      <w:tr w:rsidR="00D86DDC" w:rsidRPr="00D86DDC" w14:paraId="6F3633D2" w14:textId="77777777" w:rsidTr="00D86DDC">
        <w:trPr>
          <w:trHeight w:val="240"/>
        </w:trPr>
        <w:tc>
          <w:tcPr>
            <w:tcW w:w="10191" w:type="dxa"/>
            <w:tcBorders>
              <w:top w:val="nil"/>
              <w:left w:val="nil"/>
              <w:bottom w:val="nil"/>
              <w:right w:val="nil"/>
            </w:tcBorders>
            <w:shd w:val="clear" w:color="auto" w:fill="auto"/>
            <w:vAlign w:val="center"/>
            <w:hideMark/>
          </w:tcPr>
          <w:p w14:paraId="3CDDE362" w14:textId="77777777" w:rsidR="00D86DDC" w:rsidRPr="00D86DDC" w:rsidRDefault="00D86DDC" w:rsidP="00D86DDC">
            <w:pPr>
              <w:widowControl/>
              <w:autoSpaceDE/>
              <w:autoSpaceDN/>
              <w:adjustRightInd/>
              <w:jc w:val="center"/>
              <w:rPr>
                <w:rFonts w:cs="Arial"/>
                <w:b/>
                <w:bCs/>
                <w:color w:val="000000"/>
                <w:sz w:val="18"/>
                <w:szCs w:val="18"/>
              </w:rPr>
            </w:pPr>
          </w:p>
        </w:tc>
        <w:tc>
          <w:tcPr>
            <w:tcW w:w="58" w:type="dxa"/>
            <w:tcBorders>
              <w:top w:val="nil"/>
              <w:left w:val="nil"/>
              <w:bottom w:val="nil"/>
              <w:right w:val="nil"/>
            </w:tcBorders>
            <w:shd w:val="clear" w:color="auto" w:fill="auto"/>
            <w:noWrap/>
            <w:vAlign w:val="bottom"/>
            <w:hideMark/>
          </w:tcPr>
          <w:p w14:paraId="2768FA60"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0159EB34"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71A0D173"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41902562"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vAlign w:val="center"/>
            <w:hideMark/>
          </w:tcPr>
          <w:p w14:paraId="51F708AD"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vAlign w:val="center"/>
            <w:hideMark/>
          </w:tcPr>
          <w:p w14:paraId="0D14BA27" w14:textId="77777777" w:rsidR="00D86DDC" w:rsidRPr="00D86DDC" w:rsidRDefault="00D86DDC" w:rsidP="00D86DDC">
            <w:pPr>
              <w:widowControl/>
              <w:autoSpaceDE/>
              <w:autoSpaceDN/>
              <w:adjustRightInd/>
              <w:jc w:val="left"/>
              <w:rPr>
                <w:rFonts w:ascii="Times New Roman" w:hAnsi="Times New Roman"/>
                <w:sz w:val="20"/>
                <w:szCs w:val="20"/>
              </w:rPr>
            </w:pPr>
          </w:p>
        </w:tc>
      </w:tr>
      <w:tr w:rsidR="00D86DDC" w:rsidRPr="00D86DDC" w14:paraId="73BA1435" w14:textId="77777777" w:rsidTr="00D86DDC">
        <w:trPr>
          <w:trHeight w:val="240"/>
        </w:trPr>
        <w:tc>
          <w:tcPr>
            <w:tcW w:w="15020" w:type="dxa"/>
            <w:gridSpan w:val="7"/>
            <w:tcBorders>
              <w:top w:val="nil"/>
              <w:left w:val="nil"/>
              <w:bottom w:val="nil"/>
              <w:right w:val="nil"/>
            </w:tcBorders>
            <w:shd w:val="clear" w:color="auto" w:fill="auto"/>
            <w:vAlign w:val="center"/>
            <w:hideMark/>
          </w:tcPr>
          <w:p w14:paraId="0D6EEE56" w14:textId="77777777" w:rsidR="00D86DDC" w:rsidRPr="00D86DDC" w:rsidRDefault="00D86DDC" w:rsidP="00D86DDC">
            <w:pPr>
              <w:widowControl/>
              <w:autoSpaceDE/>
              <w:autoSpaceDN/>
              <w:adjustRightInd/>
              <w:jc w:val="center"/>
              <w:rPr>
                <w:rFonts w:cs="Arial"/>
                <w:b/>
                <w:bCs/>
                <w:color w:val="000000"/>
                <w:sz w:val="18"/>
                <w:szCs w:val="18"/>
              </w:rPr>
            </w:pPr>
            <w:r w:rsidRPr="00D86DDC">
              <w:rPr>
                <w:rFonts w:cs="Arial"/>
                <w:b/>
                <w:bCs/>
                <w:color w:val="000000"/>
                <w:sz w:val="18"/>
                <w:szCs w:val="18"/>
              </w:rPr>
              <w:t>1.2.1.1. PRIHODI POSLOVANJA I PRIHODI OD PRODAJE NEFINANCIJSKE IMOVINE PREMA EKONOMSKOJ KLASIFIKACIJI</w:t>
            </w:r>
          </w:p>
        </w:tc>
      </w:tr>
      <w:tr w:rsidR="00D86DDC" w:rsidRPr="00D86DDC" w14:paraId="5F33483C" w14:textId="77777777" w:rsidTr="00D86DDC">
        <w:trPr>
          <w:trHeight w:val="240"/>
        </w:trPr>
        <w:tc>
          <w:tcPr>
            <w:tcW w:w="10191" w:type="dxa"/>
            <w:tcBorders>
              <w:top w:val="nil"/>
              <w:left w:val="nil"/>
              <w:bottom w:val="nil"/>
              <w:right w:val="nil"/>
            </w:tcBorders>
            <w:shd w:val="clear" w:color="auto" w:fill="auto"/>
            <w:vAlign w:val="center"/>
            <w:hideMark/>
          </w:tcPr>
          <w:p w14:paraId="44A63395" w14:textId="77777777" w:rsidR="00D86DDC" w:rsidRPr="00D86DDC" w:rsidRDefault="00D86DDC" w:rsidP="00D86DDC">
            <w:pPr>
              <w:widowControl/>
              <w:autoSpaceDE/>
              <w:autoSpaceDN/>
              <w:adjustRightInd/>
              <w:jc w:val="center"/>
              <w:rPr>
                <w:rFonts w:cs="Arial"/>
                <w:b/>
                <w:bCs/>
                <w:color w:val="000000"/>
                <w:sz w:val="18"/>
                <w:szCs w:val="18"/>
              </w:rPr>
            </w:pPr>
          </w:p>
        </w:tc>
        <w:tc>
          <w:tcPr>
            <w:tcW w:w="58" w:type="dxa"/>
            <w:tcBorders>
              <w:top w:val="nil"/>
              <w:left w:val="nil"/>
              <w:bottom w:val="nil"/>
              <w:right w:val="nil"/>
            </w:tcBorders>
            <w:shd w:val="clear" w:color="auto" w:fill="auto"/>
            <w:noWrap/>
            <w:vAlign w:val="bottom"/>
            <w:hideMark/>
          </w:tcPr>
          <w:p w14:paraId="3715BE8F"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583C4F36"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1CB7AD9A" w14:textId="77777777" w:rsidR="00D86DDC" w:rsidRPr="00D86DDC" w:rsidRDefault="00D86DDC" w:rsidP="00D86DDC">
            <w:pPr>
              <w:widowControl/>
              <w:autoSpaceDE/>
              <w:autoSpaceDN/>
              <w:adjustRightInd/>
              <w:jc w:val="left"/>
              <w:rPr>
                <w:rFonts w:ascii="Times New Roman" w:hAnsi="Times New Roman"/>
                <w:sz w:val="20"/>
                <w:szCs w:val="20"/>
              </w:rPr>
            </w:pPr>
          </w:p>
        </w:tc>
        <w:tc>
          <w:tcPr>
            <w:tcW w:w="57" w:type="dxa"/>
            <w:tcBorders>
              <w:top w:val="nil"/>
              <w:left w:val="nil"/>
              <w:bottom w:val="nil"/>
              <w:right w:val="nil"/>
            </w:tcBorders>
            <w:shd w:val="clear" w:color="auto" w:fill="auto"/>
            <w:noWrap/>
            <w:vAlign w:val="bottom"/>
            <w:hideMark/>
          </w:tcPr>
          <w:p w14:paraId="4D8B9E66"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vAlign w:val="center"/>
            <w:hideMark/>
          </w:tcPr>
          <w:p w14:paraId="00488467" w14:textId="77777777" w:rsidR="00D86DDC" w:rsidRPr="00D86DDC" w:rsidRDefault="00D86DDC" w:rsidP="00D86DDC">
            <w:pPr>
              <w:widowControl/>
              <w:autoSpaceDE/>
              <w:autoSpaceDN/>
              <w:adjustRightInd/>
              <w:jc w:val="left"/>
              <w:rPr>
                <w:rFonts w:ascii="Times New Roman" w:hAnsi="Times New Roman"/>
                <w:sz w:val="20"/>
                <w:szCs w:val="20"/>
              </w:rPr>
            </w:pPr>
          </w:p>
        </w:tc>
        <w:tc>
          <w:tcPr>
            <w:tcW w:w="2300" w:type="dxa"/>
            <w:tcBorders>
              <w:top w:val="nil"/>
              <w:left w:val="nil"/>
              <w:bottom w:val="nil"/>
              <w:right w:val="nil"/>
            </w:tcBorders>
            <w:shd w:val="clear" w:color="auto" w:fill="auto"/>
            <w:vAlign w:val="center"/>
            <w:hideMark/>
          </w:tcPr>
          <w:p w14:paraId="790C129F" w14:textId="77777777" w:rsidR="00D86DDC" w:rsidRPr="00D86DDC" w:rsidRDefault="00D86DDC" w:rsidP="00D86DDC">
            <w:pPr>
              <w:widowControl/>
              <w:autoSpaceDE/>
              <w:autoSpaceDN/>
              <w:adjustRightInd/>
              <w:jc w:val="left"/>
              <w:rPr>
                <w:rFonts w:ascii="Times New Roman" w:hAnsi="Times New Roman"/>
                <w:sz w:val="20"/>
                <w:szCs w:val="20"/>
              </w:rPr>
            </w:pPr>
          </w:p>
        </w:tc>
      </w:tr>
    </w:tbl>
    <w:p w14:paraId="7EDCA69E" w14:textId="77D713B4" w:rsidR="00D86DDC" w:rsidRDefault="00D86DDC" w:rsidP="003E687E">
      <w:pPr>
        <w:spacing w:line="276" w:lineRule="auto"/>
        <w:rPr>
          <w:rFonts w:cs="Arial"/>
          <w:color w:val="000000" w:themeColor="text1"/>
        </w:rPr>
      </w:pPr>
    </w:p>
    <w:tbl>
      <w:tblPr>
        <w:tblW w:w="5000" w:type="pct"/>
        <w:tblLook w:val="04A0" w:firstRow="1" w:lastRow="0" w:firstColumn="1" w:lastColumn="0" w:noHBand="0" w:noVBand="1"/>
      </w:tblPr>
      <w:tblGrid>
        <w:gridCol w:w="6467"/>
        <w:gridCol w:w="1415"/>
        <w:gridCol w:w="1404"/>
        <w:gridCol w:w="1404"/>
        <w:gridCol w:w="1415"/>
        <w:gridCol w:w="1162"/>
        <w:gridCol w:w="1293"/>
      </w:tblGrid>
      <w:tr w:rsidR="001738AF" w:rsidRPr="001738AF" w14:paraId="4051EF11" w14:textId="77777777" w:rsidTr="001738AF">
        <w:trPr>
          <w:trHeight w:val="720"/>
        </w:trPr>
        <w:tc>
          <w:tcPr>
            <w:tcW w:w="2221"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0C52AE4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PRIHODI</w:t>
            </w:r>
          </w:p>
        </w:tc>
        <w:tc>
          <w:tcPr>
            <w:tcW w:w="486" w:type="pct"/>
            <w:tcBorders>
              <w:top w:val="single" w:sz="4" w:space="0" w:color="auto"/>
              <w:left w:val="nil"/>
              <w:bottom w:val="single" w:sz="4" w:space="0" w:color="auto"/>
              <w:right w:val="single" w:sz="4" w:space="0" w:color="auto"/>
            </w:tcBorders>
            <w:shd w:val="clear" w:color="000000" w:fill="92CDDC"/>
            <w:vAlign w:val="center"/>
            <w:hideMark/>
          </w:tcPr>
          <w:p w14:paraId="5AF46BB3"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- 31.12.2022.</w:t>
            </w:r>
          </w:p>
        </w:tc>
        <w:tc>
          <w:tcPr>
            <w:tcW w:w="482" w:type="pct"/>
            <w:tcBorders>
              <w:top w:val="single" w:sz="4" w:space="0" w:color="auto"/>
              <w:left w:val="nil"/>
              <w:bottom w:val="single" w:sz="4" w:space="0" w:color="auto"/>
              <w:right w:val="single" w:sz="4" w:space="0" w:color="auto"/>
            </w:tcBorders>
            <w:shd w:val="clear" w:color="000000" w:fill="92CDDC"/>
            <w:vAlign w:val="center"/>
            <w:hideMark/>
          </w:tcPr>
          <w:p w14:paraId="6DD49BA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IZVORNI PLAN ILI REBALANS ZA 2023.</w:t>
            </w:r>
          </w:p>
        </w:tc>
        <w:tc>
          <w:tcPr>
            <w:tcW w:w="482" w:type="pct"/>
            <w:tcBorders>
              <w:top w:val="single" w:sz="4" w:space="0" w:color="auto"/>
              <w:left w:val="nil"/>
              <w:bottom w:val="single" w:sz="4" w:space="0" w:color="auto"/>
              <w:right w:val="single" w:sz="4" w:space="0" w:color="auto"/>
            </w:tcBorders>
            <w:shd w:val="clear" w:color="000000" w:fill="92CDDC"/>
            <w:vAlign w:val="center"/>
            <w:hideMark/>
          </w:tcPr>
          <w:p w14:paraId="10651A09"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TEKUĆI PLAN ZA 2023.</w:t>
            </w:r>
          </w:p>
        </w:tc>
        <w:tc>
          <w:tcPr>
            <w:tcW w:w="486" w:type="pct"/>
            <w:tcBorders>
              <w:top w:val="single" w:sz="4" w:space="0" w:color="auto"/>
              <w:left w:val="nil"/>
              <w:bottom w:val="single" w:sz="4" w:space="0" w:color="auto"/>
              <w:right w:val="single" w:sz="4" w:space="0" w:color="auto"/>
            </w:tcBorders>
            <w:shd w:val="clear" w:color="000000" w:fill="92CDDC"/>
            <w:vAlign w:val="center"/>
            <w:hideMark/>
          </w:tcPr>
          <w:p w14:paraId="11A48B30"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- 31.12.2023.</w:t>
            </w:r>
          </w:p>
        </w:tc>
        <w:tc>
          <w:tcPr>
            <w:tcW w:w="399" w:type="pct"/>
            <w:tcBorders>
              <w:top w:val="single" w:sz="4" w:space="0" w:color="auto"/>
              <w:left w:val="nil"/>
              <w:bottom w:val="single" w:sz="4" w:space="0" w:color="auto"/>
              <w:right w:val="single" w:sz="4" w:space="0" w:color="auto"/>
            </w:tcBorders>
            <w:shd w:val="clear" w:color="000000" w:fill="92CDDC"/>
            <w:vAlign w:val="center"/>
            <w:hideMark/>
          </w:tcPr>
          <w:p w14:paraId="707C619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c>
          <w:tcPr>
            <w:tcW w:w="444" w:type="pct"/>
            <w:tcBorders>
              <w:top w:val="single" w:sz="4" w:space="0" w:color="auto"/>
              <w:left w:val="nil"/>
              <w:bottom w:val="single" w:sz="4" w:space="0" w:color="auto"/>
              <w:right w:val="single" w:sz="4" w:space="0" w:color="auto"/>
            </w:tcBorders>
            <w:shd w:val="clear" w:color="000000" w:fill="92CDDC"/>
            <w:vAlign w:val="center"/>
            <w:hideMark/>
          </w:tcPr>
          <w:p w14:paraId="6EB8BDB0"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r>
      <w:tr w:rsidR="001738AF" w:rsidRPr="001738AF" w14:paraId="4FA42F58" w14:textId="77777777" w:rsidTr="001738AF">
        <w:trPr>
          <w:trHeight w:val="240"/>
        </w:trPr>
        <w:tc>
          <w:tcPr>
            <w:tcW w:w="2221" w:type="pct"/>
            <w:tcBorders>
              <w:top w:val="nil"/>
              <w:left w:val="single" w:sz="4" w:space="0" w:color="auto"/>
              <w:bottom w:val="single" w:sz="4" w:space="0" w:color="auto"/>
              <w:right w:val="single" w:sz="4" w:space="0" w:color="auto"/>
            </w:tcBorders>
            <w:shd w:val="clear" w:color="000000" w:fill="92CDDC"/>
            <w:noWrap/>
            <w:vAlign w:val="center"/>
            <w:hideMark/>
          </w:tcPr>
          <w:p w14:paraId="224D28D5"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 </w:t>
            </w:r>
          </w:p>
        </w:tc>
        <w:tc>
          <w:tcPr>
            <w:tcW w:w="486" w:type="pct"/>
            <w:tcBorders>
              <w:top w:val="nil"/>
              <w:left w:val="nil"/>
              <w:bottom w:val="single" w:sz="4" w:space="0" w:color="auto"/>
              <w:right w:val="single" w:sz="4" w:space="0" w:color="auto"/>
            </w:tcBorders>
            <w:shd w:val="clear" w:color="000000" w:fill="92CDDC"/>
            <w:noWrap/>
            <w:vAlign w:val="center"/>
            <w:hideMark/>
          </w:tcPr>
          <w:p w14:paraId="05243C10"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1</w:t>
            </w:r>
          </w:p>
        </w:tc>
        <w:tc>
          <w:tcPr>
            <w:tcW w:w="482" w:type="pct"/>
            <w:tcBorders>
              <w:top w:val="nil"/>
              <w:left w:val="nil"/>
              <w:bottom w:val="single" w:sz="4" w:space="0" w:color="auto"/>
              <w:right w:val="single" w:sz="4" w:space="0" w:color="auto"/>
            </w:tcBorders>
            <w:shd w:val="clear" w:color="000000" w:fill="92CDDC"/>
            <w:noWrap/>
            <w:vAlign w:val="center"/>
            <w:hideMark/>
          </w:tcPr>
          <w:p w14:paraId="5A20ECA1"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2</w:t>
            </w:r>
          </w:p>
        </w:tc>
        <w:tc>
          <w:tcPr>
            <w:tcW w:w="482" w:type="pct"/>
            <w:tcBorders>
              <w:top w:val="nil"/>
              <w:left w:val="nil"/>
              <w:bottom w:val="single" w:sz="4" w:space="0" w:color="auto"/>
              <w:right w:val="single" w:sz="4" w:space="0" w:color="auto"/>
            </w:tcBorders>
            <w:shd w:val="clear" w:color="000000" w:fill="92CDDC"/>
            <w:noWrap/>
            <w:vAlign w:val="center"/>
            <w:hideMark/>
          </w:tcPr>
          <w:p w14:paraId="3C22CCE2"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3</w:t>
            </w:r>
          </w:p>
        </w:tc>
        <w:tc>
          <w:tcPr>
            <w:tcW w:w="486" w:type="pct"/>
            <w:tcBorders>
              <w:top w:val="nil"/>
              <w:left w:val="nil"/>
              <w:bottom w:val="single" w:sz="4" w:space="0" w:color="auto"/>
              <w:right w:val="single" w:sz="4" w:space="0" w:color="auto"/>
            </w:tcBorders>
            <w:shd w:val="clear" w:color="000000" w:fill="92CDDC"/>
            <w:noWrap/>
            <w:vAlign w:val="center"/>
            <w:hideMark/>
          </w:tcPr>
          <w:p w14:paraId="1E1ABF43"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4</w:t>
            </w:r>
          </w:p>
        </w:tc>
        <w:tc>
          <w:tcPr>
            <w:tcW w:w="399" w:type="pct"/>
            <w:tcBorders>
              <w:top w:val="nil"/>
              <w:left w:val="nil"/>
              <w:bottom w:val="single" w:sz="4" w:space="0" w:color="auto"/>
              <w:right w:val="single" w:sz="4" w:space="0" w:color="auto"/>
            </w:tcBorders>
            <w:shd w:val="clear" w:color="000000" w:fill="92CDDC"/>
            <w:noWrap/>
            <w:vAlign w:val="center"/>
            <w:hideMark/>
          </w:tcPr>
          <w:p w14:paraId="032839E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5 (4/1)*100</w:t>
            </w:r>
          </w:p>
        </w:tc>
        <w:tc>
          <w:tcPr>
            <w:tcW w:w="444" w:type="pct"/>
            <w:tcBorders>
              <w:top w:val="nil"/>
              <w:left w:val="nil"/>
              <w:bottom w:val="single" w:sz="4" w:space="0" w:color="auto"/>
              <w:right w:val="single" w:sz="4" w:space="0" w:color="auto"/>
            </w:tcBorders>
            <w:shd w:val="clear" w:color="000000" w:fill="92CDDC"/>
            <w:noWrap/>
            <w:vAlign w:val="center"/>
            <w:hideMark/>
          </w:tcPr>
          <w:p w14:paraId="3942B84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6 (4/3)*100</w:t>
            </w:r>
          </w:p>
        </w:tc>
      </w:tr>
      <w:tr w:rsidR="001738AF" w:rsidRPr="001738AF" w14:paraId="7254FC02" w14:textId="77777777" w:rsidTr="001738AF">
        <w:trPr>
          <w:trHeight w:val="240"/>
        </w:trPr>
        <w:tc>
          <w:tcPr>
            <w:tcW w:w="2221" w:type="pct"/>
            <w:tcBorders>
              <w:top w:val="single" w:sz="4" w:space="0" w:color="92CDDC"/>
              <w:left w:val="nil"/>
              <w:bottom w:val="single" w:sz="4" w:space="0" w:color="92CDDC"/>
              <w:right w:val="nil"/>
            </w:tcBorders>
            <w:shd w:val="clear" w:color="000000" w:fill="95B3D7"/>
            <w:noWrap/>
            <w:vAlign w:val="bottom"/>
            <w:hideMark/>
          </w:tcPr>
          <w:p w14:paraId="68B9329C"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RAZDJEL 185 DRŽAVNI URED ZA REVIZIJU</w:t>
            </w:r>
          </w:p>
        </w:tc>
        <w:tc>
          <w:tcPr>
            <w:tcW w:w="486" w:type="pct"/>
            <w:tcBorders>
              <w:top w:val="single" w:sz="4" w:space="0" w:color="92CDDC"/>
              <w:left w:val="single" w:sz="4" w:space="0" w:color="92CDDC"/>
              <w:bottom w:val="single" w:sz="4" w:space="0" w:color="92CDDC"/>
              <w:right w:val="single" w:sz="4" w:space="0" w:color="92CDDC"/>
            </w:tcBorders>
            <w:shd w:val="clear" w:color="000000" w:fill="95B3D7"/>
            <w:noWrap/>
            <w:vAlign w:val="bottom"/>
            <w:hideMark/>
          </w:tcPr>
          <w:p w14:paraId="23D77D3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10.836.049,14</w:t>
            </w:r>
          </w:p>
        </w:tc>
        <w:tc>
          <w:tcPr>
            <w:tcW w:w="482" w:type="pct"/>
            <w:tcBorders>
              <w:top w:val="single" w:sz="4" w:space="0" w:color="92CDDC"/>
              <w:left w:val="nil"/>
              <w:bottom w:val="single" w:sz="4" w:space="0" w:color="92CDDC"/>
              <w:right w:val="nil"/>
            </w:tcBorders>
            <w:shd w:val="clear" w:color="000000" w:fill="95B3D7"/>
            <w:noWrap/>
            <w:vAlign w:val="bottom"/>
            <w:hideMark/>
          </w:tcPr>
          <w:p w14:paraId="1CEC5C9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14.309.247</w:t>
            </w:r>
          </w:p>
        </w:tc>
        <w:tc>
          <w:tcPr>
            <w:tcW w:w="482" w:type="pct"/>
            <w:tcBorders>
              <w:top w:val="single" w:sz="4" w:space="0" w:color="92CDDC"/>
              <w:left w:val="single" w:sz="4" w:space="0" w:color="92CDDC"/>
              <w:bottom w:val="single" w:sz="4" w:space="0" w:color="92CDDC"/>
              <w:right w:val="single" w:sz="4" w:space="0" w:color="92CDDC"/>
            </w:tcBorders>
            <w:shd w:val="clear" w:color="000000" w:fill="95B3D7"/>
            <w:noWrap/>
            <w:vAlign w:val="bottom"/>
            <w:hideMark/>
          </w:tcPr>
          <w:p w14:paraId="32A8AEA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11.147.425</w:t>
            </w:r>
          </w:p>
        </w:tc>
        <w:tc>
          <w:tcPr>
            <w:tcW w:w="486" w:type="pct"/>
            <w:tcBorders>
              <w:top w:val="single" w:sz="4" w:space="0" w:color="92CDDC"/>
              <w:left w:val="nil"/>
              <w:bottom w:val="single" w:sz="4" w:space="0" w:color="92CDDC"/>
              <w:right w:val="nil"/>
            </w:tcBorders>
            <w:shd w:val="clear" w:color="000000" w:fill="95B3D7"/>
            <w:noWrap/>
            <w:vAlign w:val="bottom"/>
            <w:hideMark/>
          </w:tcPr>
          <w:p w14:paraId="0C40ED1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11.030.221,04</w:t>
            </w:r>
          </w:p>
        </w:tc>
        <w:tc>
          <w:tcPr>
            <w:tcW w:w="399" w:type="pct"/>
            <w:tcBorders>
              <w:top w:val="single" w:sz="4" w:space="0" w:color="92CDDC"/>
              <w:left w:val="single" w:sz="4" w:space="0" w:color="92CDDC"/>
              <w:bottom w:val="single" w:sz="4" w:space="0" w:color="92CDDC"/>
              <w:right w:val="single" w:sz="4" w:space="0" w:color="92CDDC"/>
            </w:tcBorders>
            <w:shd w:val="clear" w:color="000000" w:fill="95B3D7"/>
            <w:noWrap/>
            <w:vAlign w:val="bottom"/>
            <w:hideMark/>
          </w:tcPr>
          <w:p w14:paraId="31D3B26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101,79</w:t>
            </w:r>
          </w:p>
        </w:tc>
        <w:tc>
          <w:tcPr>
            <w:tcW w:w="444" w:type="pct"/>
            <w:tcBorders>
              <w:top w:val="single" w:sz="4" w:space="0" w:color="92CDDC"/>
              <w:left w:val="nil"/>
              <w:bottom w:val="single" w:sz="4" w:space="0" w:color="92CDDC"/>
              <w:right w:val="nil"/>
            </w:tcBorders>
            <w:shd w:val="clear" w:color="000000" w:fill="95B3D7"/>
            <w:noWrap/>
            <w:vAlign w:val="bottom"/>
            <w:hideMark/>
          </w:tcPr>
          <w:p w14:paraId="2170756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98,95</w:t>
            </w:r>
          </w:p>
        </w:tc>
      </w:tr>
      <w:tr w:rsidR="001738AF" w:rsidRPr="001738AF" w14:paraId="6356E0BC" w14:textId="77777777" w:rsidTr="001738AF">
        <w:trPr>
          <w:trHeight w:val="240"/>
        </w:trPr>
        <w:tc>
          <w:tcPr>
            <w:tcW w:w="2221" w:type="pct"/>
            <w:tcBorders>
              <w:top w:val="nil"/>
              <w:left w:val="nil"/>
              <w:bottom w:val="nil"/>
              <w:right w:val="nil"/>
            </w:tcBorders>
            <w:shd w:val="clear" w:color="000000" w:fill="B8CCE4"/>
            <w:noWrap/>
            <w:vAlign w:val="bottom"/>
            <w:hideMark/>
          </w:tcPr>
          <w:p w14:paraId="4154C1C7" w14:textId="77777777" w:rsidR="001738AF" w:rsidRPr="001738AF" w:rsidRDefault="001738AF" w:rsidP="001738AF">
            <w:pPr>
              <w:widowControl/>
              <w:autoSpaceDE/>
              <w:autoSpaceDN/>
              <w:adjustRightInd/>
              <w:ind w:firstLineChars="100" w:firstLine="180"/>
              <w:jc w:val="left"/>
              <w:rPr>
                <w:rFonts w:ascii="Calibri" w:hAnsi="Calibri" w:cs="Calibri"/>
                <w:b/>
                <w:bCs/>
                <w:color w:val="000000"/>
                <w:sz w:val="18"/>
                <w:szCs w:val="18"/>
              </w:rPr>
            </w:pPr>
            <w:r w:rsidRPr="001738AF">
              <w:rPr>
                <w:rFonts w:ascii="Calibri" w:hAnsi="Calibri" w:cs="Calibri"/>
                <w:b/>
                <w:bCs/>
                <w:color w:val="000000"/>
                <w:sz w:val="18"/>
                <w:szCs w:val="18"/>
              </w:rPr>
              <w:t>6 Prihodi poslovanja</w:t>
            </w:r>
          </w:p>
        </w:tc>
        <w:tc>
          <w:tcPr>
            <w:tcW w:w="486" w:type="pct"/>
            <w:tcBorders>
              <w:top w:val="nil"/>
              <w:left w:val="single" w:sz="4" w:space="0" w:color="92CDDC"/>
              <w:bottom w:val="nil"/>
              <w:right w:val="single" w:sz="4" w:space="0" w:color="92CDDC"/>
            </w:tcBorders>
            <w:shd w:val="clear" w:color="000000" w:fill="B8CCE4"/>
            <w:noWrap/>
            <w:vAlign w:val="bottom"/>
            <w:hideMark/>
          </w:tcPr>
          <w:p w14:paraId="6B9ABC3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10.836.049,14</w:t>
            </w:r>
          </w:p>
        </w:tc>
        <w:tc>
          <w:tcPr>
            <w:tcW w:w="482" w:type="pct"/>
            <w:tcBorders>
              <w:top w:val="nil"/>
              <w:left w:val="nil"/>
              <w:bottom w:val="nil"/>
              <w:right w:val="nil"/>
            </w:tcBorders>
            <w:shd w:val="clear" w:color="000000" w:fill="B8CCE4"/>
            <w:noWrap/>
            <w:vAlign w:val="bottom"/>
            <w:hideMark/>
          </w:tcPr>
          <w:p w14:paraId="2A34854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14.309.247</w:t>
            </w:r>
          </w:p>
        </w:tc>
        <w:tc>
          <w:tcPr>
            <w:tcW w:w="482" w:type="pct"/>
            <w:tcBorders>
              <w:top w:val="nil"/>
              <w:left w:val="single" w:sz="4" w:space="0" w:color="92CDDC"/>
              <w:bottom w:val="nil"/>
              <w:right w:val="single" w:sz="4" w:space="0" w:color="92CDDC"/>
            </w:tcBorders>
            <w:shd w:val="clear" w:color="000000" w:fill="B8CCE4"/>
            <w:noWrap/>
            <w:vAlign w:val="bottom"/>
            <w:hideMark/>
          </w:tcPr>
          <w:p w14:paraId="3BE96D8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11.147.425</w:t>
            </w:r>
          </w:p>
        </w:tc>
        <w:tc>
          <w:tcPr>
            <w:tcW w:w="486" w:type="pct"/>
            <w:tcBorders>
              <w:top w:val="nil"/>
              <w:left w:val="nil"/>
              <w:bottom w:val="nil"/>
              <w:right w:val="nil"/>
            </w:tcBorders>
            <w:shd w:val="clear" w:color="000000" w:fill="B8CCE4"/>
            <w:noWrap/>
            <w:vAlign w:val="bottom"/>
            <w:hideMark/>
          </w:tcPr>
          <w:p w14:paraId="051B962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11.030.221,04</w:t>
            </w:r>
          </w:p>
        </w:tc>
        <w:tc>
          <w:tcPr>
            <w:tcW w:w="399" w:type="pct"/>
            <w:tcBorders>
              <w:top w:val="nil"/>
              <w:left w:val="single" w:sz="4" w:space="0" w:color="92CDDC"/>
              <w:bottom w:val="nil"/>
              <w:right w:val="single" w:sz="4" w:space="0" w:color="92CDDC"/>
            </w:tcBorders>
            <w:shd w:val="clear" w:color="000000" w:fill="B8CCE4"/>
            <w:noWrap/>
            <w:vAlign w:val="bottom"/>
            <w:hideMark/>
          </w:tcPr>
          <w:p w14:paraId="0E5B51C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101,79</w:t>
            </w:r>
          </w:p>
        </w:tc>
        <w:tc>
          <w:tcPr>
            <w:tcW w:w="444" w:type="pct"/>
            <w:tcBorders>
              <w:top w:val="nil"/>
              <w:left w:val="nil"/>
              <w:bottom w:val="nil"/>
              <w:right w:val="nil"/>
            </w:tcBorders>
            <w:shd w:val="clear" w:color="000000" w:fill="B8CCE4"/>
            <w:noWrap/>
            <w:vAlign w:val="bottom"/>
            <w:hideMark/>
          </w:tcPr>
          <w:p w14:paraId="605CCDF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98,95</w:t>
            </w:r>
          </w:p>
        </w:tc>
      </w:tr>
      <w:tr w:rsidR="001738AF" w:rsidRPr="001738AF" w14:paraId="0604E58E" w14:textId="77777777" w:rsidTr="001738AF">
        <w:trPr>
          <w:trHeight w:val="240"/>
        </w:trPr>
        <w:tc>
          <w:tcPr>
            <w:tcW w:w="2221" w:type="pct"/>
            <w:tcBorders>
              <w:top w:val="single" w:sz="4" w:space="0" w:color="92CDDC"/>
              <w:left w:val="nil"/>
              <w:bottom w:val="single" w:sz="4" w:space="0" w:color="92CDDC"/>
              <w:right w:val="nil"/>
            </w:tcBorders>
            <w:shd w:val="clear" w:color="000000" w:fill="DCE6F1"/>
            <w:noWrap/>
            <w:vAlign w:val="bottom"/>
            <w:hideMark/>
          </w:tcPr>
          <w:p w14:paraId="16F8823D"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63 Pomoći iz inozemstva i od subjekata unutar općeg proračuna</w:t>
            </w:r>
          </w:p>
        </w:tc>
        <w:tc>
          <w:tcPr>
            <w:tcW w:w="486"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56A90DE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889.581,37</w:t>
            </w:r>
          </w:p>
        </w:tc>
        <w:tc>
          <w:tcPr>
            <w:tcW w:w="482" w:type="pct"/>
            <w:tcBorders>
              <w:top w:val="single" w:sz="4" w:space="0" w:color="92CDDC"/>
              <w:left w:val="nil"/>
              <w:bottom w:val="single" w:sz="4" w:space="0" w:color="92CDDC"/>
              <w:right w:val="nil"/>
            </w:tcBorders>
            <w:shd w:val="clear" w:color="000000" w:fill="DCE6F1"/>
            <w:noWrap/>
            <w:vAlign w:val="bottom"/>
            <w:hideMark/>
          </w:tcPr>
          <w:p w14:paraId="2E86B25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918.207</w:t>
            </w:r>
          </w:p>
        </w:tc>
        <w:tc>
          <w:tcPr>
            <w:tcW w:w="482"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00750E5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357.798</w:t>
            </w:r>
          </w:p>
        </w:tc>
        <w:tc>
          <w:tcPr>
            <w:tcW w:w="486" w:type="pct"/>
            <w:tcBorders>
              <w:top w:val="single" w:sz="4" w:space="0" w:color="92CDDC"/>
              <w:left w:val="nil"/>
              <w:bottom w:val="single" w:sz="4" w:space="0" w:color="92CDDC"/>
              <w:right w:val="nil"/>
            </w:tcBorders>
            <w:shd w:val="clear" w:color="000000" w:fill="DCE6F1"/>
            <w:noWrap/>
            <w:vAlign w:val="bottom"/>
            <w:hideMark/>
          </w:tcPr>
          <w:p w14:paraId="25B341A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357.716,99</w:t>
            </w:r>
          </w:p>
        </w:tc>
        <w:tc>
          <w:tcPr>
            <w:tcW w:w="399"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68EA395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40,21</w:t>
            </w:r>
          </w:p>
        </w:tc>
        <w:tc>
          <w:tcPr>
            <w:tcW w:w="444" w:type="pct"/>
            <w:tcBorders>
              <w:top w:val="single" w:sz="4" w:space="0" w:color="92CDDC"/>
              <w:left w:val="nil"/>
              <w:bottom w:val="single" w:sz="4" w:space="0" w:color="92CDDC"/>
              <w:right w:val="nil"/>
            </w:tcBorders>
            <w:shd w:val="clear" w:color="000000" w:fill="DCE6F1"/>
            <w:noWrap/>
            <w:vAlign w:val="bottom"/>
            <w:hideMark/>
          </w:tcPr>
          <w:p w14:paraId="7CA5F71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99,98</w:t>
            </w:r>
          </w:p>
        </w:tc>
      </w:tr>
      <w:tr w:rsidR="001738AF" w:rsidRPr="001738AF" w14:paraId="5ED8C97D" w14:textId="77777777" w:rsidTr="001738AF">
        <w:trPr>
          <w:trHeight w:val="240"/>
        </w:trPr>
        <w:tc>
          <w:tcPr>
            <w:tcW w:w="2221" w:type="pct"/>
            <w:tcBorders>
              <w:top w:val="nil"/>
              <w:left w:val="nil"/>
              <w:bottom w:val="nil"/>
              <w:right w:val="nil"/>
            </w:tcBorders>
            <w:shd w:val="clear" w:color="auto" w:fill="auto"/>
            <w:vAlign w:val="bottom"/>
            <w:hideMark/>
          </w:tcPr>
          <w:p w14:paraId="04E7350F"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632 Pomoći od međunarodnih organizacija te institucija i tijela EU</w:t>
            </w:r>
          </w:p>
        </w:tc>
        <w:tc>
          <w:tcPr>
            <w:tcW w:w="486" w:type="pct"/>
            <w:tcBorders>
              <w:top w:val="nil"/>
              <w:left w:val="single" w:sz="4" w:space="0" w:color="92CDDC"/>
              <w:bottom w:val="nil"/>
              <w:right w:val="single" w:sz="4" w:space="0" w:color="92CDDC"/>
            </w:tcBorders>
            <w:shd w:val="clear" w:color="auto" w:fill="auto"/>
            <w:noWrap/>
            <w:vAlign w:val="bottom"/>
            <w:hideMark/>
          </w:tcPr>
          <w:p w14:paraId="34EB23F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889.581,37</w:t>
            </w:r>
          </w:p>
        </w:tc>
        <w:tc>
          <w:tcPr>
            <w:tcW w:w="482" w:type="pct"/>
            <w:tcBorders>
              <w:top w:val="nil"/>
              <w:left w:val="nil"/>
              <w:bottom w:val="nil"/>
              <w:right w:val="nil"/>
            </w:tcBorders>
            <w:shd w:val="clear" w:color="auto" w:fill="auto"/>
            <w:noWrap/>
            <w:vAlign w:val="bottom"/>
            <w:hideMark/>
          </w:tcPr>
          <w:p w14:paraId="3BCF985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918.207</w:t>
            </w:r>
          </w:p>
        </w:tc>
        <w:tc>
          <w:tcPr>
            <w:tcW w:w="482" w:type="pct"/>
            <w:tcBorders>
              <w:top w:val="nil"/>
              <w:left w:val="single" w:sz="4" w:space="0" w:color="92CDDC"/>
              <w:bottom w:val="nil"/>
              <w:right w:val="single" w:sz="4" w:space="0" w:color="92CDDC"/>
            </w:tcBorders>
            <w:shd w:val="clear" w:color="auto" w:fill="auto"/>
            <w:noWrap/>
            <w:vAlign w:val="bottom"/>
            <w:hideMark/>
          </w:tcPr>
          <w:p w14:paraId="2613303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357.798</w:t>
            </w:r>
          </w:p>
        </w:tc>
        <w:tc>
          <w:tcPr>
            <w:tcW w:w="486" w:type="pct"/>
            <w:tcBorders>
              <w:top w:val="nil"/>
              <w:left w:val="nil"/>
              <w:bottom w:val="nil"/>
              <w:right w:val="nil"/>
            </w:tcBorders>
            <w:shd w:val="clear" w:color="auto" w:fill="auto"/>
            <w:noWrap/>
            <w:vAlign w:val="bottom"/>
            <w:hideMark/>
          </w:tcPr>
          <w:p w14:paraId="492EAC0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357.716,99</w:t>
            </w:r>
          </w:p>
        </w:tc>
        <w:tc>
          <w:tcPr>
            <w:tcW w:w="399" w:type="pct"/>
            <w:tcBorders>
              <w:top w:val="nil"/>
              <w:left w:val="single" w:sz="4" w:space="0" w:color="92CDDC"/>
              <w:bottom w:val="nil"/>
              <w:right w:val="single" w:sz="4" w:space="0" w:color="92CDDC"/>
            </w:tcBorders>
            <w:shd w:val="clear" w:color="auto" w:fill="auto"/>
            <w:noWrap/>
            <w:vAlign w:val="bottom"/>
            <w:hideMark/>
          </w:tcPr>
          <w:p w14:paraId="1E8ADC9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40,21</w:t>
            </w:r>
          </w:p>
        </w:tc>
        <w:tc>
          <w:tcPr>
            <w:tcW w:w="444" w:type="pct"/>
            <w:tcBorders>
              <w:top w:val="nil"/>
              <w:left w:val="nil"/>
              <w:bottom w:val="nil"/>
              <w:right w:val="nil"/>
            </w:tcBorders>
            <w:shd w:val="clear" w:color="auto" w:fill="auto"/>
            <w:noWrap/>
            <w:vAlign w:val="bottom"/>
            <w:hideMark/>
          </w:tcPr>
          <w:p w14:paraId="503D685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99,98</w:t>
            </w:r>
          </w:p>
        </w:tc>
      </w:tr>
      <w:tr w:rsidR="001738AF" w:rsidRPr="001738AF" w14:paraId="656325F0" w14:textId="77777777" w:rsidTr="001738AF">
        <w:trPr>
          <w:trHeight w:val="240"/>
        </w:trPr>
        <w:tc>
          <w:tcPr>
            <w:tcW w:w="2221" w:type="pct"/>
            <w:tcBorders>
              <w:top w:val="single" w:sz="4" w:space="0" w:color="92CDDC"/>
              <w:left w:val="nil"/>
              <w:bottom w:val="single" w:sz="4" w:space="0" w:color="92CDDC"/>
              <w:right w:val="nil"/>
            </w:tcBorders>
            <w:shd w:val="clear" w:color="auto" w:fill="auto"/>
            <w:vAlign w:val="bottom"/>
            <w:hideMark/>
          </w:tcPr>
          <w:p w14:paraId="3DB6B23A"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6324 Kapitalne pomoći od institucija i tijela  EU</w:t>
            </w:r>
          </w:p>
        </w:tc>
        <w:tc>
          <w:tcPr>
            <w:tcW w:w="486"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24E0318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889.581,37</w:t>
            </w:r>
          </w:p>
        </w:tc>
        <w:tc>
          <w:tcPr>
            <w:tcW w:w="482" w:type="pct"/>
            <w:tcBorders>
              <w:top w:val="single" w:sz="4" w:space="0" w:color="92CDDC"/>
              <w:left w:val="nil"/>
              <w:bottom w:val="single" w:sz="4" w:space="0" w:color="92CDDC"/>
              <w:right w:val="nil"/>
            </w:tcBorders>
            <w:shd w:val="clear" w:color="auto" w:fill="auto"/>
            <w:noWrap/>
            <w:vAlign w:val="bottom"/>
            <w:hideMark/>
          </w:tcPr>
          <w:p w14:paraId="47D9462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918.207</w:t>
            </w:r>
          </w:p>
        </w:tc>
        <w:tc>
          <w:tcPr>
            <w:tcW w:w="482"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75647FB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357.798</w:t>
            </w:r>
          </w:p>
        </w:tc>
        <w:tc>
          <w:tcPr>
            <w:tcW w:w="486" w:type="pct"/>
            <w:tcBorders>
              <w:top w:val="single" w:sz="4" w:space="0" w:color="92CDDC"/>
              <w:left w:val="nil"/>
              <w:bottom w:val="single" w:sz="4" w:space="0" w:color="92CDDC"/>
              <w:right w:val="nil"/>
            </w:tcBorders>
            <w:shd w:val="clear" w:color="auto" w:fill="auto"/>
            <w:noWrap/>
            <w:vAlign w:val="bottom"/>
            <w:hideMark/>
          </w:tcPr>
          <w:p w14:paraId="2B85330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357.716,99</w:t>
            </w:r>
          </w:p>
        </w:tc>
        <w:tc>
          <w:tcPr>
            <w:tcW w:w="399"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3003646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40,21</w:t>
            </w:r>
          </w:p>
        </w:tc>
        <w:tc>
          <w:tcPr>
            <w:tcW w:w="444" w:type="pct"/>
            <w:tcBorders>
              <w:top w:val="single" w:sz="4" w:space="0" w:color="92CDDC"/>
              <w:left w:val="nil"/>
              <w:bottom w:val="single" w:sz="4" w:space="0" w:color="92CDDC"/>
              <w:right w:val="nil"/>
            </w:tcBorders>
            <w:shd w:val="clear" w:color="auto" w:fill="auto"/>
            <w:noWrap/>
            <w:vAlign w:val="bottom"/>
            <w:hideMark/>
          </w:tcPr>
          <w:p w14:paraId="0D2F29C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99,98</w:t>
            </w:r>
          </w:p>
        </w:tc>
      </w:tr>
      <w:tr w:rsidR="001738AF" w:rsidRPr="001738AF" w14:paraId="6EFD7571" w14:textId="77777777" w:rsidTr="001738AF">
        <w:trPr>
          <w:trHeight w:val="240"/>
        </w:trPr>
        <w:tc>
          <w:tcPr>
            <w:tcW w:w="2221" w:type="pct"/>
            <w:tcBorders>
              <w:top w:val="nil"/>
              <w:left w:val="nil"/>
              <w:bottom w:val="nil"/>
              <w:right w:val="nil"/>
            </w:tcBorders>
            <w:shd w:val="clear" w:color="000000" w:fill="DCE6F1"/>
            <w:noWrap/>
            <w:vAlign w:val="bottom"/>
            <w:hideMark/>
          </w:tcPr>
          <w:p w14:paraId="27B3562F"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66 Prihodi od prodaje proizvoda i robe te pruženih usluga i prihodi od donacija</w:t>
            </w:r>
          </w:p>
        </w:tc>
        <w:tc>
          <w:tcPr>
            <w:tcW w:w="486" w:type="pct"/>
            <w:tcBorders>
              <w:top w:val="nil"/>
              <w:left w:val="single" w:sz="4" w:space="0" w:color="92CDDC"/>
              <w:bottom w:val="nil"/>
              <w:right w:val="single" w:sz="4" w:space="0" w:color="92CDDC"/>
            </w:tcBorders>
            <w:shd w:val="clear" w:color="000000" w:fill="DCE6F1"/>
            <w:noWrap/>
            <w:vAlign w:val="bottom"/>
            <w:hideMark/>
          </w:tcPr>
          <w:p w14:paraId="25FE156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489.039,09</w:t>
            </w:r>
          </w:p>
        </w:tc>
        <w:tc>
          <w:tcPr>
            <w:tcW w:w="482" w:type="pct"/>
            <w:tcBorders>
              <w:top w:val="nil"/>
              <w:left w:val="nil"/>
              <w:bottom w:val="nil"/>
              <w:right w:val="nil"/>
            </w:tcBorders>
            <w:shd w:val="clear" w:color="000000" w:fill="DCE6F1"/>
            <w:noWrap/>
            <w:vAlign w:val="bottom"/>
            <w:hideMark/>
          </w:tcPr>
          <w:p w14:paraId="1F88D3F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w:t>
            </w:r>
          </w:p>
        </w:tc>
        <w:tc>
          <w:tcPr>
            <w:tcW w:w="482" w:type="pct"/>
            <w:tcBorders>
              <w:top w:val="nil"/>
              <w:left w:val="single" w:sz="4" w:space="0" w:color="92CDDC"/>
              <w:bottom w:val="nil"/>
              <w:right w:val="single" w:sz="4" w:space="0" w:color="92CDDC"/>
            </w:tcBorders>
            <w:shd w:val="clear" w:color="000000" w:fill="DCE6F1"/>
            <w:noWrap/>
            <w:vAlign w:val="bottom"/>
            <w:hideMark/>
          </w:tcPr>
          <w:p w14:paraId="5F38444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w:t>
            </w:r>
          </w:p>
        </w:tc>
        <w:tc>
          <w:tcPr>
            <w:tcW w:w="486" w:type="pct"/>
            <w:tcBorders>
              <w:top w:val="nil"/>
              <w:left w:val="nil"/>
              <w:bottom w:val="nil"/>
              <w:right w:val="nil"/>
            </w:tcBorders>
            <w:shd w:val="clear" w:color="000000" w:fill="DCE6F1"/>
            <w:noWrap/>
            <w:vAlign w:val="bottom"/>
            <w:hideMark/>
          </w:tcPr>
          <w:p w14:paraId="0CA055A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102.361,10</w:t>
            </w:r>
          </w:p>
        </w:tc>
        <w:tc>
          <w:tcPr>
            <w:tcW w:w="399" w:type="pct"/>
            <w:tcBorders>
              <w:top w:val="nil"/>
              <w:left w:val="single" w:sz="4" w:space="0" w:color="92CDDC"/>
              <w:bottom w:val="nil"/>
              <w:right w:val="single" w:sz="4" w:space="0" w:color="92CDDC"/>
            </w:tcBorders>
            <w:shd w:val="clear" w:color="000000" w:fill="DCE6F1"/>
            <w:noWrap/>
            <w:vAlign w:val="bottom"/>
            <w:hideMark/>
          </w:tcPr>
          <w:p w14:paraId="7E03875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20,93</w:t>
            </w:r>
          </w:p>
        </w:tc>
        <w:tc>
          <w:tcPr>
            <w:tcW w:w="444" w:type="pct"/>
            <w:tcBorders>
              <w:top w:val="nil"/>
              <w:left w:val="nil"/>
              <w:bottom w:val="nil"/>
              <w:right w:val="nil"/>
            </w:tcBorders>
            <w:shd w:val="clear" w:color="000000" w:fill="DCE6F1"/>
            <w:noWrap/>
            <w:vAlign w:val="bottom"/>
            <w:hideMark/>
          </w:tcPr>
          <w:p w14:paraId="686B147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100,00</w:t>
            </w:r>
          </w:p>
        </w:tc>
      </w:tr>
      <w:tr w:rsidR="001738AF" w:rsidRPr="001738AF" w14:paraId="724DEA03" w14:textId="77777777" w:rsidTr="001738AF">
        <w:trPr>
          <w:trHeight w:val="240"/>
        </w:trPr>
        <w:tc>
          <w:tcPr>
            <w:tcW w:w="2221" w:type="pct"/>
            <w:tcBorders>
              <w:top w:val="single" w:sz="4" w:space="0" w:color="92CDDC"/>
              <w:left w:val="nil"/>
              <w:bottom w:val="single" w:sz="4" w:space="0" w:color="92CDDC"/>
              <w:right w:val="nil"/>
            </w:tcBorders>
            <w:shd w:val="clear" w:color="auto" w:fill="auto"/>
            <w:vAlign w:val="bottom"/>
            <w:hideMark/>
          </w:tcPr>
          <w:p w14:paraId="0C8F6A30"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661 Prihodi od prodaje proizvoda i robe te pruženih usluga</w:t>
            </w:r>
          </w:p>
        </w:tc>
        <w:tc>
          <w:tcPr>
            <w:tcW w:w="486"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74E969E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489.039,09</w:t>
            </w:r>
          </w:p>
        </w:tc>
        <w:tc>
          <w:tcPr>
            <w:tcW w:w="482" w:type="pct"/>
            <w:tcBorders>
              <w:top w:val="single" w:sz="4" w:space="0" w:color="92CDDC"/>
              <w:left w:val="nil"/>
              <w:bottom w:val="single" w:sz="4" w:space="0" w:color="92CDDC"/>
              <w:right w:val="nil"/>
            </w:tcBorders>
            <w:shd w:val="clear" w:color="auto" w:fill="auto"/>
            <w:noWrap/>
            <w:vAlign w:val="bottom"/>
            <w:hideMark/>
          </w:tcPr>
          <w:p w14:paraId="3990EB8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w:t>
            </w:r>
          </w:p>
        </w:tc>
        <w:tc>
          <w:tcPr>
            <w:tcW w:w="482"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07A7A86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w:t>
            </w:r>
          </w:p>
        </w:tc>
        <w:tc>
          <w:tcPr>
            <w:tcW w:w="486" w:type="pct"/>
            <w:tcBorders>
              <w:top w:val="single" w:sz="4" w:space="0" w:color="92CDDC"/>
              <w:left w:val="nil"/>
              <w:bottom w:val="single" w:sz="4" w:space="0" w:color="92CDDC"/>
              <w:right w:val="nil"/>
            </w:tcBorders>
            <w:shd w:val="clear" w:color="auto" w:fill="auto"/>
            <w:noWrap/>
            <w:vAlign w:val="bottom"/>
            <w:hideMark/>
          </w:tcPr>
          <w:p w14:paraId="45F3560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102.361,10</w:t>
            </w:r>
          </w:p>
        </w:tc>
        <w:tc>
          <w:tcPr>
            <w:tcW w:w="399"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2337F44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20,93</w:t>
            </w:r>
          </w:p>
        </w:tc>
        <w:tc>
          <w:tcPr>
            <w:tcW w:w="444" w:type="pct"/>
            <w:tcBorders>
              <w:top w:val="single" w:sz="4" w:space="0" w:color="92CDDC"/>
              <w:left w:val="nil"/>
              <w:bottom w:val="single" w:sz="4" w:space="0" w:color="92CDDC"/>
              <w:right w:val="nil"/>
            </w:tcBorders>
            <w:shd w:val="clear" w:color="auto" w:fill="auto"/>
            <w:noWrap/>
            <w:vAlign w:val="bottom"/>
            <w:hideMark/>
          </w:tcPr>
          <w:p w14:paraId="34A3284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100,00</w:t>
            </w:r>
          </w:p>
        </w:tc>
      </w:tr>
      <w:tr w:rsidR="001738AF" w:rsidRPr="001738AF" w14:paraId="68C7878C" w14:textId="77777777" w:rsidTr="001738AF">
        <w:trPr>
          <w:trHeight w:val="240"/>
        </w:trPr>
        <w:tc>
          <w:tcPr>
            <w:tcW w:w="2221" w:type="pct"/>
            <w:tcBorders>
              <w:top w:val="nil"/>
              <w:left w:val="nil"/>
              <w:bottom w:val="nil"/>
              <w:right w:val="nil"/>
            </w:tcBorders>
            <w:shd w:val="clear" w:color="auto" w:fill="auto"/>
            <w:vAlign w:val="bottom"/>
            <w:hideMark/>
          </w:tcPr>
          <w:p w14:paraId="32175F57"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6615 Prihodi od pruženih usluga</w:t>
            </w:r>
          </w:p>
        </w:tc>
        <w:tc>
          <w:tcPr>
            <w:tcW w:w="486" w:type="pct"/>
            <w:tcBorders>
              <w:top w:val="nil"/>
              <w:left w:val="single" w:sz="4" w:space="0" w:color="92CDDC"/>
              <w:bottom w:val="nil"/>
              <w:right w:val="single" w:sz="4" w:space="0" w:color="92CDDC"/>
            </w:tcBorders>
            <w:shd w:val="clear" w:color="auto" w:fill="auto"/>
            <w:noWrap/>
            <w:vAlign w:val="bottom"/>
            <w:hideMark/>
          </w:tcPr>
          <w:p w14:paraId="45B155F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489.039,09</w:t>
            </w:r>
          </w:p>
        </w:tc>
        <w:tc>
          <w:tcPr>
            <w:tcW w:w="482" w:type="pct"/>
            <w:tcBorders>
              <w:top w:val="nil"/>
              <w:left w:val="nil"/>
              <w:bottom w:val="nil"/>
              <w:right w:val="nil"/>
            </w:tcBorders>
            <w:shd w:val="clear" w:color="auto" w:fill="auto"/>
            <w:noWrap/>
            <w:vAlign w:val="bottom"/>
            <w:hideMark/>
          </w:tcPr>
          <w:p w14:paraId="3F3B918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102.361</w:t>
            </w:r>
          </w:p>
        </w:tc>
        <w:tc>
          <w:tcPr>
            <w:tcW w:w="482" w:type="pct"/>
            <w:tcBorders>
              <w:top w:val="nil"/>
              <w:left w:val="single" w:sz="4" w:space="0" w:color="92CDDC"/>
              <w:bottom w:val="nil"/>
              <w:right w:val="single" w:sz="4" w:space="0" w:color="92CDDC"/>
            </w:tcBorders>
            <w:shd w:val="clear" w:color="auto" w:fill="auto"/>
            <w:noWrap/>
            <w:vAlign w:val="bottom"/>
            <w:hideMark/>
          </w:tcPr>
          <w:p w14:paraId="6B4B266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102.361</w:t>
            </w:r>
          </w:p>
        </w:tc>
        <w:tc>
          <w:tcPr>
            <w:tcW w:w="486" w:type="pct"/>
            <w:tcBorders>
              <w:top w:val="nil"/>
              <w:left w:val="nil"/>
              <w:bottom w:val="nil"/>
              <w:right w:val="nil"/>
            </w:tcBorders>
            <w:shd w:val="clear" w:color="auto" w:fill="auto"/>
            <w:noWrap/>
            <w:vAlign w:val="bottom"/>
            <w:hideMark/>
          </w:tcPr>
          <w:p w14:paraId="3D0E5F3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102.361,10</w:t>
            </w:r>
          </w:p>
        </w:tc>
        <w:tc>
          <w:tcPr>
            <w:tcW w:w="399" w:type="pct"/>
            <w:tcBorders>
              <w:top w:val="nil"/>
              <w:left w:val="single" w:sz="4" w:space="0" w:color="92CDDC"/>
              <w:bottom w:val="nil"/>
              <w:right w:val="single" w:sz="4" w:space="0" w:color="92CDDC"/>
            </w:tcBorders>
            <w:shd w:val="clear" w:color="auto" w:fill="auto"/>
            <w:noWrap/>
            <w:vAlign w:val="bottom"/>
            <w:hideMark/>
          </w:tcPr>
          <w:p w14:paraId="6B67BA9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20,93</w:t>
            </w:r>
          </w:p>
        </w:tc>
        <w:tc>
          <w:tcPr>
            <w:tcW w:w="444" w:type="pct"/>
            <w:tcBorders>
              <w:top w:val="nil"/>
              <w:left w:val="nil"/>
              <w:bottom w:val="nil"/>
              <w:right w:val="nil"/>
            </w:tcBorders>
            <w:shd w:val="clear" w:color="auto" w:fill="auto"/>
            <w:noWrap/>
            <w:vAlign w:val="bottom"/>
            <w:hideMark/>
          </w:tcPr>
          <w:p w14:paraId="056E052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100,00</w:t>
            </w:r>
          </w:p>
        </w:tc>
      </w:tr>
      <w:tr w:rsidR="001738AF" w:rsidRPr="001738AF" w14:paraId="6A8C572B" w14:textId="77777777" w:rsidTr="001738AF">
        <w:trPr>
          <w:trHeight w:val="240"/>
        </w:trPr>
        <w:tc>
          <w:tcPr>
            <w:tcW w:w="2221" w:type="pct"/>
            <w:tcBorders>
              <w:top w:val="single" w:sz="4" w:space="0" w:color="92CDDC"/>
              <w:left w:val="nil"/>
              <w:bottom w:val="single" w:sz="4" w:space="0" w:color="92CDDC"/>
              <w:right w:val="nil"/>
            </w:tcBorders>
            <w:shd w:val="clear" w:color="000000" w:fill="DCE6F1"/>
            <w:noWrap/>
            <w:vAlign w:val="bottom"/>
            <w:hideMark/>
          </w:tcPr>
          <w:p w14:paraId="49A7E76A"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67 Prihodi iz nadležnog proračuna i od HZZO-a temeljem ugovornih obveza</w:t>
            </w:r>
          </w:p>
        </w:tc>
        <w:tc>
          <w:tcPr>
            <w:tcW w:w="486"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4965BA6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9.457.428,68</w:t>
            </w:r>
          </w:p>
        </w:tc>
        <w:tc>
          <w:tcPr>
            <w:tcW w:w="482" w:type="pct"/>
            <w:tcBorders>
              <w:top w:val="single" w:sz="4" w:space="0" w:color="92CDDC"/>
              <w:left w:val="nil"/>
              <w:bottom w:val="single" w:sz="4" w:space="0" w:color="92CDDC"/>
              <w:right w:val="nil"/>
            </w:tcBorders>
            <w:shd w:val="clear" w:color="000000" w:fill="DCE6F1"/>
            <w:noWrap/>
            <w:vAlign w:val="bottom"/>
            <w:hideMark/>
          </w:tcPr>
          <w:p w14:paraId="5EABF22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13.288.679</w:t>
            </w:r>
          </w:p>
        </w:tc>
        <w:tc>
          <w:tcPr>
            <w:tcW w:w="482"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0575B6F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10.687.266</w:t>
            </w:r>
          </w:p>
        </w:tc>
        <w:tc>
          <w:tcPr>
            <w:tcW w:w="486" w:type="pct"/>
            <w:tcBorders>
              <w:top w:val="single" w:sz="4" w:space="0" w:color="92CDDC"/>
              <w:left w:val="nil"/>
              <w:bottom w:val="single" w:sz="4" w:space="0" w:color="92CDDC"/>
              <w:right w:val="nil"/>
            </w:tcBorders>
            <w:shd w:val="clear" w:color="000000" w:fill="DCE6F1"/>
            <w:noWrap/>
            <w:vAlign w:val="bottom"/>
            <w:hideMark/>
          </w:tcPr>
          <w:p w14:paraId="0FF99BD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10.570.142,95</w:t>
            </w:r>
          </w:p>
        </w:tc>
        <w:tc>
          <w:tcPr>
            <w:tcW w:w="399" w:type="pct"/>
            <w:tcBorders>
              <w:top w:val="single" w:sz="4" w:space="0" w:color="92CDDC"/>
              <w:left w:val="single" w:sz="4" w:space="0" w:color="92CDDC"/>
              <w:bottom w:val="single" w:sz="4" w:space="0" w:color="92CDDC"/>
              <w:right w:val="single" w:sz="4" w:space="0" w:color="92CDDC"/>
            </w:tcBorders>
            <w:shd w:val="clear" w:color="000000" w:fill="DCE6F1"/>
            <w:noWrap/>
            <w:vAlign w:val="bottom"/>
            <w:hideMark/>
          </w:tcPr>
          <w:p w14:paraId="75DC6D1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111,77</w:t>
            </w:r>
          </w:p>
        </w:tc>
        <w:tc>
          <w:tcPr>
            <w:tcW w:w="444" w:type="pct"/>
            <w:tcBorders>
              <w:top w:val="single" w:sz="4" w:space="0" w:color="92CDDC"/>
              <w:left w:val="nil"/>
              <w:bottom w:val="single" w:sz="4" w:space="0" w:color="92CDDC"/>
              <w:right w:val="nil"/>
            </w:tcBorders>
            <w:shd w:val="clear" w:color="000000" w:fill="DCE6F1"/>
            <w:noWrap/>
            <w:vAlign w:val="bottom"/>
            <w:hideMark/>
          </w:tcPr>
          <w:p w14:paraId="2451A0A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98,90</w:t>
            </w:r>
          </w:p>
        </w:tc>
      </w:tr>
      <w:tr w:rsidR="001738AF" w:rsidRPr="001738AF" w14:paraId="4387675E" w14:textId="77777777" w:rsidTr="001738AF">
        <w:trPr>
          <w:trHeight w:val="480"/>
        </w:trPr>
        <w:tc>
          <w:tcPr>
            <w:tcW w:w="2221" w:type="pct"/>
            <w:tcBorders>
              <w:top w:val="nil"/>
              <w:left w:val="nil"/>
              <w:bottom w:val="nil"/>
              <w:right w:val="nil"/>
            </w:tcBorders>
            <w:shd w:val="clear" w:color="auto" w:fill="auto"/>
            <w:vAlign w:val="bottom"/>
            <w:hideMark/>
          </w:tcPr>
          <w:p w14:paraId="24F8F12D"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671 Prihodi iz nadležnog proračuna za financiranje redovne djelatnosti proračunskih korisnika</w:t>
            </w:r>
          </w:p>
        </w:tc>
        <w:tc>
          <w:tcPr>
            <w:tcW w:w="486" w:type="pct"/>
            <w:tcBorders>
              <w:top w:val="nil"/>
              <w:left w:val="single" w:sz="4" w:space="0" w:color="92CDDC"/>
              <w:bottom w:val="nil"/>
              <w:right w:val="single" w:sz="4" w:space="0" w:color="92CDDC"/>
            </w:tcBorders>
            <w:shd w:val="clear" w:color="auto" w:fill="auto"/>
            <w:noWrap/>
            <w:vAlign w:val="bottom"/>
            <w:hideMark/>
          </w:tcPr>
          <w:p w14:paraId="7D491C0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9.457.428,68</w:t>
            </w:r>
          </w:p>
        </w:tc>
        <w:tc>
          <w:tcPr>
            <w:tcW w:w="482" w:type="pct"/>
            <w:tcBorders>
              <w:top w:val="nil"/>
              <w:left w:val="nil"/>
              <w:bottom w:val="nil"/>
              <w:right w:val="nil"/>
            </w:tcBorders>
            <w:shd w:val="clear" w:color="auto" w:fill="auto"/>
            <w:noWrap/>
            <w:vAlign w:val="bottom"/>
            <w:hideMark/>
          </w:tcPr>
          <w:p w14:paraId="78C5C3E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13.288.679</w:t>
            </w:r>
          </w:p>
        </w:tc>
        <w:tc>
          <w:tcPr>
            <w:tcW w:w="482" w:type="pct"/>
            <w:tcBorders>
              <w:top w:val="nil"/>
              <w:left w:val="single" w:sz="4" w:space="0" w:color="92CDDC"/>
              <w:bottom w:val="nil"/>
              <w:right w:val="single" w:sz="4" w:space="0" w:color="92CDDC"/>
            </w:tcBorders>
            <w:shd w:val="clear" w:color="auto" w:fill="auto"/>
            <w:noWrap/>
            <w:vAlign w:val="bottom"/>
            <w:hideMark/>
          </w:tcPr>
          <w:p w14:paraId="55F8B8E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10.687.266</w:t>
            </w:r>
          </w:p>
        </w:tc>
        <w:tc>
          <w:tcPr>
            <w:tcW w:w="486" w:type="pct"/>
            <w:tcBorders>
              <w:top w:val="nil"/>
              <w:left w:val="nil"/>
              <w:bottom w:val="nil"/>
              <w:right w:val="nil"/>
            </w:tcBorders>
            <w:shd w:val="clear" w:color="auto" w:fill="auto"/>
            <w:noWrap/>
            <w:vAlign w:val="bottom"/>
            <w:hideMark/>
          </w:tcPr>
          <w:p w14:paraId="41DA3CE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10.570.142,95</w:t>
            </w:r>
          </w:p>
        </w:tc>
        <w:tc>
          <w:tcPr>
            <w:tcW w:w="399" w:type="pct"/>
            <w:tcBorders>
              <w:top w:val="nil"/>
              <w:left w:val="single" w:sz="4" w:space="0" w:color="92CDDC"/>
              <w:bottom w:val="nil"/>
              <w:right w:val="single" w:sz="4" w:space="0" w:color="92CDDC"/>
            </w:tcBorders>
            <w:shd w:val="clear" w:color="auto" w:fill="auto"/>
            <w:noWrap/>
            <w:vAlign w:val="bottom"/>
            <w:hideMark/>
          </w:tcPr>
          <w:p w14:paraId="6C5E37B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111,77</w:t>
            </w:r>
          </w:p>
        </w:tc>
        <w:tc>
          <w:tcPr>
            <w:tcW w:w="444" w:type="pct"/>
            <w:tcBorders>
              <w:top w:val="nil"/>
              <w:left w:val="nil"/>
              <w:bottom w:val="nil"/>
              <w:right w:val="nil"/>
            </w:tcBorders>
            <w:shd w:val="clear" w:color="auto" w:fill="auto"/>
            <w:noWrap/>
            <w:vAlign w:val="bottom"/>
            <w:hideMark/>
          </w:tcPr>
          <w:p w14:paraId="758D29B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98,90</w:t>
            </w:r>
          </w:p>
        </w:tc>
      </w:tr>
      <w:tr w:rsidR="001738AF" w:rsidRPr="001738AF" w14:paraId="4D2D2729" w14:textId="77777777" w:rsidTr="001738AF">
        <w:trPr>
          <w:trHeight w:val="480"/>
        </w:trPr>
        <w:tc>
          <w:tcPr>
            <w:tcW w:w="2221" w:type="pct"/>
            <w:tcBorders>
              <w:top w:val="single" w:sz="4" w:space="0" w:color="92CDDC"/>
              <w:left w:val="nil"/>
              <w:bottom w:val="single" w:sz="4" w:space="0" w:color="92CDDC"/>
              <w:right w:val="nil"/>
            </w:tcBorders>
            <w:shd w:val="clear" w:color="auto" w:fill="auto"/>
            <w:vAlign w:val="bottom"/>
            <w:hideMark/>
          </w:tcPr>
          <w:p w14:paraId="3C95590A"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6711 Prihodi iz nadležnog proračuna za financiranje rashoda poslovanja</w:t>
            </w:r>
          </w:p>
        </w:tc>
        <w:tc>
          <w:tcPr>
            <w:tcW w:w="486"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4885B0F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9.150.717,33</w:t>
            </w:r>
          </w:p>
        </w:tc>
        <w:tc>
          <w:tcPr>
            <w:tcW w:w="482" w:type="pct"/>
            <w:tcBorders>
              <w:top w:val="single" w:sz="4" w:space="0" w:color="92CDDC"/>
              <w:left w:val="nil"/>
              <w:bottom w:val="single" w:sz="4" w:space="0" w:color="92CDDC"/>
              <w:right w:val="nil"/>
            </w:tcBorders>
            <w:shd w:val="clear" w:color="auto" w:fill="auto"/>
            <w:noWrap/>
            <w:vAlign w:val="bottom"/>
            <w:hideMark/>
          </w:tcPr>
          <w:p w14:paraId="4BE2055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10.442.910</w:t>
            </w:r>
          </w:p>
        </w:tc>
        <w:tc>
          <w:tcPr>
            <w:tcW w:w="482"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38F4854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10.151.910</w:t>
            </w:r>
          </w:p>
        </w:tc>
        <w:tc>
          <w:tcPr>
            <w:tcW w:w="486" w:type="pct"/>
            <w:tcBorders>
              <w:top w:val="single" w:sz="4" w:space="0" w:color="92CDDC"/>
              <w:left w:val="nil"/>
              <w:bottom w:val="single" w:sz="4" w:space="0" w:color="92CDDC"/>
              <w:right w:val="nil"/>
            </w:tcBorders>
            <w:shd w:val="clear" w:color="auto" w:fill="auto"/>
            <w:noWrap/>
            <w:vAlign w:val="bottom"/>
            <w:hideMark/>
          </w:tcPr>
          <w:p w14:paraId="17A982A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10.051.116,50</w:t>
            </w:r>
          </w:p>
        </w:tc>
        <w:tc>
          <w:tcPr>
            <w:tcW w:w="399" w:type="pct"/>
            <w:tcBorders>
              <w:top w:val="single" w:sz="4" w:space="0" w:color="92CDDC"/>
              <w:left w:val="single" w:sz="4" w:space="0" w:color="92CDDC"/>
              <w:bottom w:val="single" w:sz="4" w:space="0" w:color="92CDDC"/>
              <w:right w:val="single" w:sz="4" w:space="0" w:color="92CDDC"/>
            </w:tcBorders>
            <w:shd w:val="clear" w:color="auto" w:fill="auto"/>
            <w:noWrap/>
            <w:vAlign w:val="bottom"/>
            <w:hideMark/>
          </w:tcPr>
          <w:p w14:paraId="5D0631A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109,84</w:t>
            </w:r>
          </w:p>
        </w:tc>
        <w:tc>
          <w:tcPr>
            <w:tcW w:w="444" w:type="pct"/>
            <w:tcBorders>
              <w:top w:val="single" w:sz="4" w:space="0" w:color="92CDDC"/>
              <w:left w:val="nil"/>
              <w:bottom w:val="single" w:sz="4" w:space="0" w:color="92CDDC"/>
              <w:right w:val="nil"/>
            </w:tcBorders>
            <w:shd w:val="clear" w:color="auto" w:fill="auto"/>
            <w:noWrap/>
            <w:vAlign w:val="bottom"/>
            <w:hideMark/>
          </w:tcPr>
          <w:p w14:paraId="51ABF6F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99,01</w:t>
            </w:r>
          </w:p>
        </w:tc>
      </w:tr>
      <w:tr w:rsidR="001738AF" w:rsidRPr="001738AF" w14:paraId="4B77FF21" w14:textId="77777777" w:rsidTr="001738AF">
        <w:trPr>
          <w:trHeight w:val="480"/>
        </w:trPr>
        <w:tc>
          <w:tcPr>
            <w:tcW w:w="2221" w:type="pct"/>
            <w:tcBorders>
              <w:top w:val="nil"/>
              <w:left w:val="nil"/>
              <w:bottom w:val="nil"/>
              <w:right w:val="nil"/>
            </w:tcBorders>
            <w:shd w:val="clear" w:color="auto" w:fill="auto"/>
            <w:vAlign w:val="bottom"/>
            <w:hideMark/>
          </w:tcPr>
          <w:p w14:paraId="6FBB2967" w14:textId="77777777" w:rsid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 xml:space="preserve">6712 Prihodi iz nadležnog proračuna za financiranje rashoda za nabavu </w:t>
            </w:r>
          </w:p>
          <w:p w14:paraId="58441ECB" w14:textId="7894638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nefinancijske imovine</w:t>
            </w:r>
          </w:p>
        </w:tc>
        <w:tc>
          <w:tcPr>
            <w:tcW w:w="486" w:type="pct"/>
            <w:tcBorders>
              <w:top w:val="nil"/>
              <w:left w:val="single" w:sz="4" w:space="0" w:color="92CDDC"/>
              <w:bottom w:val="nil"/>
              <w:right w:val="single" w:sz="4" w:space="0" w:color="92CDDC"/>
            </w:tcBorders>
            <w:shd w:val="clear" w:color="auto" w:fill="auto"/>
            <w:noWrap/>
            <w:vAlign w:val="bottom"/>
            <w:hideMark/>
          </w:tcPr>
          <w:p w14:paraId="485E35D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306.711,35</w:t>
            </w:r>
          </w:p>
        </w:tc>
        <w:tc>
          <w:tcPr>
            <w:tcW w:w="482" w:type="pct"/>
            <w:tcBorders>
              <w:top w:val="nil"/>
              <w:left w:val="nil"/>
              <w:bottom w:val="nil"/>
              <w:right w:val="nil"/>
            </w:tcBorders>
            <w:shd w:val="clear" w:color="auto" w:fill="auto"/>
            <w:noWrap/>
            <w:vAlign w:val="bottom"/>
            <w:hideMark/>
          </w:tcPr>
          <w:p w14:paraId="6144B97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2.845.769</w:t>
            </w:r>
          </w:p>
        </w:tc>
        <w:tc>
          <w:tcPr>
            <w:tcW w:w="482" w:type="pct"/>
            <w:tcBorders>
              <w:top w:val="nil"/>
              <w:left w:val="single" w:sz="4" w:space="0" w:color="92CDDC"/>
              <w:bottom w:val="nil"/>
              <w:right w:val="single" w:sz="4" w:space="0" w:color="92CDDC"/>
            </w:tcBorders>
            <w:shd w:val="clear" w:color="auto" w:fill="auto"/>
            <w:noWrap/>
            <w:vAlign w:val="bottom"/>
            <w:hideMark/>
          </w:tcPr>
          <w:p w14:paraId="248B2EA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535.356</w:t>
            </w:r>
          </w:p>
        </w:tc>
        <w:tc>
          <w:tcPr>
            <w:tcW w:w="486" w:type="pct"/>
            <w:tcBorders>
              <w:top w:val="nil"/>
              <w:left w:val="nil"/>
              <w:bottom w:val="nil"/>
              <w:right w:val="nil"/>
            </w:tcBorders>
            <w:shd w:val="clear" w:color="auto" w:fill="auto"/>
            <w:noWrap/>
            <w:vAlign w:val="bottom"/>
            <w:hideMark/>
          </w:tcPr>
          <w:p w14:paraId="0A8A315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519.026,45</w:t>
            </w:r>
          </w:p>
        </w:tc>
        <w:tc>
          <w:tcPr>
            <w:tcW w:w="399" w:type="pct"/>
            <w:tcBorders>
              <w:top w:val="nil"/>
              <w:left w:val="single" w:sz="4" w:space="0" w:color="92CDDC"/>
              <w:bottom w:val="nil"/>
              <w:right w:val="single" w:sz="4" w:space="0" w:color="92CDDC"/>
            </w:tcBorders>
            <w:shd w:val="clear" w:color="auto" w:fill="auto"/>
            <w:noWrap/>
            <w:vAlign w:val="bottom"/>
            <w:hideMark/>
          </w:tcPr>
          <w:p w14:paraId="72927FB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169,22</w:t>
            </w:r>
          </w:p>
        </w:tc>
        <w:tc>
          <w:tcPr>
            <w:tcW w:w="444" w:type="pct"/>
            <w:tcBorders>
              <w:top w:val="nil"/>
              <w:left w:val="nil"/>
              <w:bottom w:val="nil"/>
              <w:right w:val="nil"/>
            </w:tcBorders>
            <w:shd w:val="clear" w:color="auto" w:fill="auto"/>
            <w:noWrap/>
            <w:vAlign w:val="bottom"/>
            <w:hideMark/>
          </w:tcPr>
          <w:p w14:paraId="793A450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96,95</w:t>
            </w:r>
          </w:p>
        </w:tc>
      </w:tr>
      <w:tr w:rsidR="001738AF" w:rsidRPr="001738AF" w14:paraId="6C106E69" w14:textId="77777777" w:rsidTr="001738AF">
        <w:trPr>
          <w:trHeight w:val="240"/>
        </w:trPr>
        <w:tc>
          <w:tcPr>
            <w:tcW w:w="2221" w:type="pct"/>
            <w:tcBorders>
              <w:top w:val="single" w:sz="4" w:space="0" w:color="31869B"/>
              <w:left w:val="nil"/>
              <w:bottom w:val="single" w:sz="8" w:space="0" w:color="31869B"/>
              <w:right w:val="nil"/>
            </w:tcBorders>
            <w:shd w:val="clear" w:color="auto" w:fill="auto"/>
            <w:noWrap/>
            <w:vAlign w:val="bottom"/>
            <w:hideMark/>
          </w:tcPr>
          <w:p w14:paraId="5583751F"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Ukupni zbroj</w:t>
            </w:r>
          </w:p>
        </w:tc>
        <w:tc>
          <w:tcPr>
            <w:tcW w:w="486" w:type="pct"/>
            <w:tcBorders>
              <w:top w:val="single" w:sz="4" w:space="0" w:color="31869B"/>
              <w:left w:val="single" w:sz="4" w:space="0" w:color="92CDDC"/>
              <w:bottom w:val="single" w:sz="8" w:space="0" w:color="31869B"/>
              <w:right w:val="single" w:sz="4" w:space="0" w:color="92CDDC"/>
            </w:tcBorders>
            <w:shd w:val="clear" w:color="auto" w:fill="auto"/>
            <w:noWrap/>
            <w:vAlign w:val="bottom"/>
            <w:hideMark/>
          </w:tcPr>
          <w:p w14:paraId="2F3101D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10.836.049,14</w:t>
            </w:r>
          </w:p>
        </w:tc>
        <w:tc>
          <w:tcPr>
            <w:tcW w:w="482" w:type="pct"/>
            <w:tcBorders>
              <w:top w:val="single" w:sz="4" w:space="0" w:color="31869B"/>
              <w:left w:val="nil"/>
              <w:bottom w:val="single" w:sz="8" w:space="0" w:color="31869B"/>
              <w:right w:val="nil"/>
            </w:tcBorders>
            <w:shd w:val="clear" w:color="auto" w:fill="auto"/>
            <w:noWrap/>
            <w:vAlign w:val="bottom"/>
            <w:hideMark/>
          </w:tcPr>
          <w:p w14:paraId="061FD42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14.309.247</w:t>
            </w:r>
          </w:p>
        </w:tc>
        <w:tc>
          <w:tcPr>
            <w:tcW w:w="482" w:type="pct"/>
            <w:tcBorders>
              <w:top w:val="single" w:sz="4" w:space="0" w:color="31869B"/>
              <w:left w:val="single" w:sz="4" w:space="0" w:color="92CDDC"/>
              <w:bottom w:val="single" w:sz="8" w:space="0" w:color="31869B"/>
              <w:right w:val="single" w:sz="4" w:space="0" w:color="92CDDC"/>
            </w:tcBorders>
            <w:shd w:val="clear" w:color="auto" w:fill="auto"/>
            <w:noWrap/>
            <w:vAlign w:val="bottom"/>
            <w:hideMark/>
          </w:tcPr>
          <w:p w14:paraId="0E1A56C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11.147.425</w:t>
            </w:r>
          </w:p>
        </w:tc>
        <w:tc>
          <w:tcPr>
            <w:tcW w:w="486" w:type="pct"/>
            <w:tcBorders>
              <w:top w:val="single" w:sz="4" w:space="0" w:color="31869B"/>
              <w:left w:val="nil"/>
              <w:bottom w:val="single" w:sz="8" w:space="0" w:color="31869B"/>
              <w:right w:val="nil"/>
            </w:tcBorders>
            <w:shd w:val="clear" w:color="auto" w:fill="auto"/>
            <w:noWrap/>
            <w:vAlign w:val="bottom"/>
            <w:hideMark/>
          </w:tcPr>
          <w:p w14:paraId="237FC0C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11.030.221,04</w:t>
            </w:r>
          </w:p>
        </w:tc>
        <w:tc>
          <w:tcPr>
            <w:tcW w:w="399" w:type="pct"/>
            <w:tcBorders>
              <w:top w:val="single" w:sz="4" w:space="0" w:color="31869B"/>
              <w:left w:val="single" w:sz="4" w:space="0" w:color="92CDDC"/>
              <w:bottom w:val="single" w:sz="8" w:space="0" w:color="31869B"/>
              <w:right w:val="single" w:sz="4" w:space="0" w:color="92CDDC"/>
            </w:tcBorders>
            <w:shd w:val="clear" w:color="auto" w:fill="auto"/>
            <w:noWrap/>
            <w:vAlign w:val="bottom"/>
            <w:hideMark/>
          </w:tcPr>
          <w:p w14:paraId="7713336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101,79</w:t>
            </w:r>
          </w:p>
        </w:tc>
        <w:tc>
          <w:tcPr>
            <w:tcW w:w="444" w:type="pct"/>
            <w:tcBorders>
              <w:top w:val="single" w:sz="4" w:space="0" w:color="31869B"/>
              <w:left w:val="nil"/>
              <w:bottom w:val="single" w:sz="8" w:space="0" w:color="31869B"/>
              <w:right w:val="nil"/>
            </w:tcBorders>
            <w:shd w:val="clear" w:color="auto" w:fill="auto"/>
            <w:noWrap/>
            <w:vAlign w:val="bottom"/>
            <w:hideMark/>
          </w:tcPr>
          <w:p w14:paraId="36A827E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98,95</w:t>
            </w:r>
          </w:p>
        </w:tc>
      </w:tr>
    </w:tbl>
    <w:p w14:paraId="2B37E0C7" w14:textId="5535752A" w:rsidR="003E687E" w:rsidRDefault="003E687E" w:rsidP="003E687E">
      <w:pPr>
        <w:spacing w:line="276" w:lineRule="auto"/>
        <w:rPr>
          <w:rFonts w:cs="Arial"/>
          <w:color w:val="000000" w:themeColor="text1"/>
        </w:rPr>
      </w:pPr>
    </w:p>
    <w:p w14:paraId="66358374" w14:textId="77777777" w:rsidR="003E687E" w:rsidRDefault="003E687E" w:rsidP="003E687E">
      <w:pPr>
        <w:spacing w:line="276" w:lineRule="auto"/>
        <w:rPr>
          <w:rFonts w:cs="Arial"/>
          <w:color w:val="000000" w:themeColor="text1"/>
        </w:rPr>
      </w:pPr>
    </w:p>
    <w:p w14:paraId="65EE9C43" w14:textId="77777777" w:rsidR="00D86DDC" w:rsidRDefault="00D86DDC">
      <w:pPr>
        <w:widowControl/>
        <w:autoSpaceDE/>
        <w:autoSpaceDN/>
        <w:adjustRightInd/>
        <w:spacing w:after="160" w:line="259" w:lineRule="auto"/>
        <w:jc w:val="left"/>
        <w:rPr>
          <w:rFonts w:cs="Arial"/>
          <w:color w:val="000000" w:themeColor="text1"/>
        </w:rPr>
      </w:pPr>
      <w:r>
        <w:rPr>
          <w:rFonts w:cs="Arial"/>
          <w:color w:val="000000" w:themeColor="text1"/>
        </w:rPr>
        <w:br w:type="page"/>
      </w:r>
    </w:p>
    <w:p w14:paraId="477CDB42" w14:textId="3F548E53" w:rsidR="00D86DDC" w:rsidRDefault="00D86DDC" w:rsidP="00D86DDC">
      <w:pPr>
        <w:widowControl/>
        <w:autoSpaceDE/>
        <w:autoSpaceDN/>
        <w:adjustRightInd/>
        <w:jc w:val="center"/>
        <w:rPr>
          <w:rFonts w:cs="Arial"/>
          <w:b/>
          <w:bCs/>
          <w:color w:val="000000"/>
          <w:sz w:val="18"/>
          <w:szCs w:val="18"/>
        </w:rPr>
      </w:pPr>
      <w:r w:rsidRPr="00D86DDC">
        <w:rPr>
          <w:rFonts w:cs="Arial"/>
          <w:b/>
          <w:bCs/>
          <w:color w:val="000000"/>
          <w:sz w:val="18"/>
          <w:szCs w:val="18"/>
        </w:rPr>
        <w:lastRenderedPageBreak/>
        <w:t>1.2.1.2. RASHODI POSLOVANJA I RASHODI ZA NABAVU NEFINANCIJSKE IMOVINE PREMA EKONOMSKOJ KLASIFIKACIJI</w:t>
      </w:r>
    </w:p>
    <w:p w14:paraId="29E4ED08" w14:textId="0D846458" w:rsidR="00D86DDC" w:rsidRDefault="00D86DDC" w:rsidP="00D86DDC">
      <w:pPr>
        <w:widowControl/>
        <w:autoSpaceDE/>
        <w:autoSpaceDN/>
        <w:adjustRightInd/>
        <w:jc w:val="center"/>
        <w:rPr>
          <w:rFonts w:cs="Arial"/>
          <w:b/>
          <w:bCs/>
          <w:color w:val="000000"/>
          <w:sz w:val="18"/>
          <w:szCs w:val="18"/>
        </w:rPr>
      </w:pPr>
    </w:p>
    <w:tbl>
      <w:tblPr>
        <w:tblW w:w="5000" w:type="pct"/>
        <w:tblLook w:val="04A0" w:firstRow="1" w:lastRow="0" w:firstColumn="1" w:lastColumn="0" w:noHBand="0" w:noVBand="1"/>
      </w:tblPr>
      <w:tblGrid>
        <w:gridCol w:w="6344"/>
        <w:gridCol w:w="1433"/>
        <w:gridCol w:w="1433"/>
        <w:gridCol w:w="1433"/>
        <w:gridCol w:w="1433"/>
        <w:gridCol w:w="1174"/>
        <w:gridCol w:w="1310"/>
      </w:tblGrid>
      <w:tr w:rsidR="001738AF" w:rsidRPr="001738AF" w14:paraId="23F598EC" w14:textId="77777777" w:rsidTr="001738AF">
        <w:trPr>
          <w:trHeight w:val="720"/>
          <w:tblHeader/>
        </w:trPr>
        <w:tc>
          <w:tcPr>
            <w:tcW w:w="2179"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242FE6B8"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RASHODI</w:t>
            </w:r>
          </w:p>
        </w:tc>
        <w:tc>
          <w:tcPr>
            <w:tcW w:w="492" w:type="pct"/>
            <w:tcBorders>
              <w:top w:val="single" w:sz="4" w:space="0" w:color="auto"/>
              <w:left w:val="nil"/>
              <w:bottom w:val="single" w:sz="4" w:space="0" w:color="auto"/>
              <w:right w:val="single" w:sz="4" w:space="0" w:color="auto"/>
            </w:tcBorders>
            <w:shd w:val="clear" w:color="000000" w:fill="92CDDC"/>
            <w:vAlign w:val="center"/>
            <w:hideMark/>
          </w:tcPr>
          <w:p w14:paraId="5CB2EDCB"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- 31.12.2022.</w:t>
            </w:r>
          </w:p>
        </w:tc>
        <w:tc>
          <w:tcPr>
            <w:tcW w:w="492" w:type="pct"/>
            <w:tcBorders>
              <w:top w:val="single" w:sz="4" w:space="0" w:color="auto"/>
              <w:left w:val="nil"/>
              <w:bottom w:val="single" w:sz="4" w:space="0" w:color="auto"/>
              <w:right w:val="single" w:sz="4" w:space="0" w:color="auto"/>
            </w:tcBorders>
            <w:shd w:val="clear" w:color="000000" w:fill="92CDDC"/>
            <w:vAlign w:val="center"/>
            <w:hideMark/>
          </w:tcPr>
          <w:p w14:paraId="5759737D"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IZVORNI PLAN ILI REBALANS ZA 2023.</w:t>
            </w:r>
          </w:p>
        </w:tc>
        <w:tc>
          <w:tcPr>
            <w:tcW w:w="492" w:type="pct"/>
            <w:tcBorders>
              <w:top w:val="single" w:sz="4" w:space="0" w:color="auto"/>
              <w:left w:val="nil"/>
              <w:bottom w:val="single" w:sz="4" w:space="0" w:color="auto"/>
              <w:right w:val="single" w:sz="4" w:space="0" w:color="auto"/>
            </w:tcBorders>
            <w:shd w:val="clear" w:color="000000" w:fill="92CDDC"/>
            <w:vAlign w:val="center"/>
            <w:hideMark/>
          </w:tcPr>
          <w:p w14:paraId="1DB06E16"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TEKUĆI PLAN ZA 2023.</w:t>
            </w:r>
          </w:p>
        </w:tc>
        <w:tc>
          <w:tcPr>
            <w:tcW w:w="492" w:type="pct"/>
            <w:tcBorders>
              <w:top w:val="single" w:sz="4" w:space="0" w:color="auto"/>
              <w:left w:val="nil"/>
              <w:bottom w:val="single" w:sz="4" w:space="0" w:color="auto"/>
              <w:right w:val="single" w:sz="4" w:space="0" w:color="auto"/>
            </w:tcBorders>
            <w:shd w:val="clear" w:color="000000" w:fill="92CDDC"/>
            <w:vAlign w:val="center"/>
            <w:hideMark/>
          </w:tcPr>
          <w:p w14:paraId="147BF625"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IZVRŠENJE 01.01. - 31.12.2023.</w:t>
            </w:r>
          </w:p>
        </w:tc>
        <w:tc>
          <w:tcPr>
            <w:tcW w:w="403" w:type="pct"/>
            <w:tcBorders>
              <w:top w:val="single" w:sz="4" w:space="0" w:color="auto"/>
              <w:left w:val="nil"/>
              <w:bottom w:val="single" w:sz="4" w:space="0" w:color="auto"/>
              <w:right w:val="single" w:sz="4" w:space="0" w:color="auto"/>
            </w:tcBorders>
            <w:shd w:val="clear" w:color="000000" w:fill="92CDDC"/>
            <w:vAlign w:val="center"/>
            <w:hideMark/>
          </w:tcPr>
          <w:p w14:paraId="729EAD19"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c>
          <w:tcPr>
            <w:tcW w:w="451" w:type="pct"/>
            <w:tcBorders>
              <w:top w:val="single" w:sz="4" w:space="0" w:color="auto"/>
              <w:left w:val="nil"/>
              <w:bottom w:val="single" w:sz="4" w:space="0" w:color="auto"/>
              <w:right w:val="single" w:sz="4" w:space="0" w:color="auto"/>
            </w:tcBorders>
            <w:shd w:val="clear" w:color="000000" w:fill="92CDDC"/>
            <w:vAlign w:val="center"/>
            <w:hideMark/>
          </w:tcPr>
          <w:p w14:paraId="4C63991C"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Indeks</w:t>
            </w:r>
          </w:p>
        </w:tc>
      </w:tr>
      <w:tr w:rsidR="001738AF" w:rsidRPr="001738AF" w14:paraId="37C670ED" w14:textId="77777777" w:rsidTr="001738AF">
        <w:trPr>
          <w:trHeight w:val="240"/>
          <w:tblHeader/>
        </w:trPr>
        <w:tc>
          <w:tcPr>
            <w:tcW w:w="2179" w:type="pct"/>
            <w:tcBorders>
              <w:top w:val="nil"/>
              <w:left w:val="single" w:sz="4" w:space="0" w:color="auto"/>
              <w:bottom w:val="single" w:sz="4" w:space="0" w:color="auto"/>
              <w:right w:val="single" w:sz="4" w:space="0" w:color="auto"/>
            </w:tcBorders>
            <w:shd w:val="clear" w:color="000000" w:fill="92CDDC"/>
            <w:noWrap/>
            <w:vAlign w:val="center"/>
            <w:hideMark/>
          </w:tcPr>
          <w:p w14:paraId="1FF84FBB"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 </w:t>
            </w:r>
          </w:p>
        </w:tc>
        <w:tc>
          <w:tcPr>
            <w:tcW w:w="492" w:type="pct"/>
            <w:tcBorders>
              <w:top w:val="nil"/>
              <w:left w:val="nil"/>
              <w:bottom w:val="single" w:sz="4" w:space="0" w:color="auto"/>
              <w:right w:val="single" w:sz="4" w:space="0" w:color="auto"/>
            </w:tcBorders>
            <w:shd w:val="clear" w:color="000000" w:fill="92CDDC"/>
            <w:noWrap/>
            <w:vAlign w:val="center"/>
            <w:hideMark/>
          </w:tcPr>
          <w:p w14:paraId="1417830A"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1</w:t>
            </w:r>
          </w:p>
        </w:tc>
        <w:tc>
          <w:tcPr>
            <w:tcW w:w="492" w:type="pct"/>
            <w:tcBorders>
              <w:top w:val="nil"/>
              <w:left w:val="nil"/>
              <w:bottom w:val="single" w:sz="4" w:space="0" w:color="auto"/>
              <w:right w:val="single" w:sz="4" w:space="0" w:color="auto"/>
            </w:tcBorders>
            <w:shd w:val="clear" w:color="000000" w:fill="92CDDC"/>
            <w:noWrap/>
            <w:vAlign w:val="center"/>
            <w:hideMark/>
          </w:tcPr>
          <w:p w14:paraId="650AE2C2"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2</w:t>
            </w:r>
          </w:p>
        </w:tc>
        <w:tc>
          <w:tcPr>
            <w:tcW w:w="492" w:type="pct"/>
            <w:tcBorders>
              <w:top w:val="nil"/>
              <w:left w:val="nil"/>
              <w:bottom w:val="single" w:sz="4" w:space="0" w:color="auto"/>
              <w:right w:val="single" w:sz="4" w:space="0" w:color="auto"/>
            </w:tcBorders>
            <w:shd w:val="clear" w:color="000000" w:fill="92CDDC"/>
            <w:noWrap/>
            <w:vAlign w:val="center"/>
            <w:hideMark/>
          </w:tcPr>
          <w:p w14:paraId="6DAA1B4B"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3</w:t>
            </w:r>
          </w:p>
        </w:tc>
        <w:tc>
          <w:tcPr>
            <w:tcW w:w="492" w:type="pct"/>
            <w:tcBorders>
              <w:top w:val="nil"/>
              <w:left w:val="nil"/>
              <w:bottom w:val="single" w:sz="4" w:space="0" w:color="auto"/>
              <w:right w:val="single" w:sz="4" w:space="0" w:color="auto"/>
            </w:tcBorders>
            <w:shd w:val="clear" w:color="000000" w:fill="92CDDC"/>
            <w:noWrap/>
            <w:vAlign w:val="center"/>
            <w:hideMark/>
          </w:tcPr>
          <w:p w14:paraId="31E5FEE3"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4</w:t>
            </w:r>
          </w:p>
        </w:tc>
        <w:tc>
          <w:tcPr>
            <w:tcW w:w="403" w:type="pct"/>
            <w:tcBorders>
              <w:top w:val="nil"/>
              <w:left w:val="nil"/>
              <w:bottom w:val="single" w:sz="4" w:space="0" w:color="auto"/>
              <w:right w:val="single" w:sz="4" w:space="0" w:color="auto"/>
            </w:tcBorders>
            <w:shd w:val="clear" w:color="000000" w:fill="92CDDC"/>
            <w:noWrap/>
            <w:vAlign w:val="center"/>
            <w:hideMark/>
          </w:tcPr>
          <w:p w14:paraId="5F702101"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5 (4/1)*100</w:t>
            </w:r>
          </w:p>
        </w:tc>
        <w:tc>
          <w:tcPr>
            <w:tcW w:w="451" w:type="pct"/>
            <w:tcBorders>
              <w:top w:val="nil"/>
              <w:left w:val="nil"/>
              <w:bottom w:val="single" w:sz="4" w:space="0" w:color="auto"/>
              <w:right w:val="single" w:sz="4" w:space="0" w:color="auto"/>
            </w:tcBorders>
            <w:shd w:val="clear" w:color="000000" w:fill="92CDDC"/>
            <w:noWrap/>
            <w:vAlign w:val="center"/>
            <w:hideMark/>
          </w:tcPr>
          <w:p w14:paraId="6BAF1BB2" w14:textId="77777777" w:rsidR="001738AF" w:rsidRPr="001738AF" w:rsidRDefault="001738AF" w:rsidP="001738AF">
            <w:pPr>
              <w:widowControl/>
              <w:autoSpaceDE/>
              <w:autoSpaceDN/>
              <w:adjustRightInd/>
              <w:jc w:val="center"/>
              <w:rPr>
                <w:rFonts w:ascii="Calibri" w:hAnsi="Calibri" w:cs="Calibri"/>
                <w:b/>
                <w:bCs/>
                <w:color w:val="000000"/>
                <w:sz w:val="18"/>
                <w:szCs w:val="18"/>
              </w:rPr>
            </w:pPr>
            <w:r w:rsidRPr="001738AF">
              <w:rPr>
                <w:rFonts w:ascii="Calibri" w:hAnsi="Calibri" w:cs="Calibri"/>
                <w:b/>
                <w:bCs/>
                <w:color w:val="000000"/>
                <w:sz w:val="18"/>
                <w:szCs w:val="18"/>
              </w:rPr>
              <w:t>6 (4/3)*100</w:t>
            </w:r>
          </w:p>
        </w:tc>
      </w:tr>
      <w:tr w:rsidR="001738AF" w:rsidRPr="001738AF" w14:paraId="40EB035F" w14:textId="77777777" w:rsidTr="001738AF">
        <w:trPr>
          <w:trHeight w:val="240"/>
        </w:trPr>
        <w:tc>
          <w:tcPr>
            <w:tcW w:w="2179" w:type="pct"/>
            <w:tcBorders>
              <w:top w:val="single" w:sz="4" w:space="0" w:color="95B3D7"/>
              <w:left w:val="nil"/>
              <w:bottom w:val="single" w:sz="4" w:space="0" w:color="95B3D7"/>
              <w:right w:val="nil"/>
            </w:tcBorders>
            <w:shd w:val="clear" w:color="000000" w:fill="95B3D7"/>
            <w:noWrap/>
            <w:vAlign w:val="bottom"/>
            <w:hideMark/>
          </w:tcPr>
          <w:p w14:paraId="52E71847"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RAZDJEL 185 DRŽAVNI URED ZA REVIZIJU</w:t>
            </w:r>
          </w:p>
        </w:tc>
        <w:tc>
          <w:tcPr>
            <w:tcW w:w="492" w:type="pct"/>
            <w:tcBorders>
              <w:top w:val="single" w:sz="4" w:space="0" w:color="95B3D7"/>
              <w:left w:val="single" w:sz="4" w:space="0" w:color="95B3D7"/>
              <w:bottom w:val="single" w:sz="4" w:space="0" w:color="95B3D7"/>
              <w:right w:val="single" w:sz="4" w:space="0" w:color="95B3D7"/>
            </w:tcBorders>
            <w:shd w:val="clear" w:color="000000" w:fill="95B3D7"/>
            <w:noWrap/>
            <w:vAlign w:val="bottom"/>
            <w:hideMark/>
          </w:tcPr>
          <w:p w14:paraId="069B300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11.042.707,23</w:t>
            </w:r>
          </w:p>
        </w:tc>
        <w:tc>
          <w:tcPr>
            <w:tcW w:w="492" w:type="pct"/>
            <w:tcBorders>
              <w:top w:val="single" w:sz="4" w:space="0" w:color="95B3D7"/>
              <w:left w:val="nil"/>
              <w:bottom w:val="single" w:sz="4" w:space="0" w:color="95B3D7"/>
              <w:right w:val="nil"/>
            </w:tcBorders>
            <w:shd w:val="clear" w:color="000000" w:fill="95B3D7"/>
            <w:noWrap/>
            <w:vAlign w:val="bottom"/>
            <w:hideMark/>
          </w:tcPr>
          <w:p w14:paraId="0A8DC33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14.406.098</w:t>
            </w:r>
          </w:p>
        </w:tc>
        <w:tc>
          <w:tcPr>
            <w:tcW w:w="492" w:type="pct"/>
            <w:tcBorders>
              <w:top w:val="single" w:sz="4" w:space="0" w:color="95B3D7"/>
              <w:left w:val="single" w:sz="4" w:space="0" w:color="95B3D7"/>
              <w:bottom w:val="single" w:sz="4" w:space="0" w:color="95B3D7"/>
              <w:right w:val="single" w:sz="4" w:space="0" w:color="95B3D7"/>
            </w:tcBorders>
            <w:shd w:val="clear" w:color="000000" w:fill="95B3D7"/>
            <w:noWrap/>
            <w:vAlign w:val="bottom"/>
            <w:hideMark/>
          </w:tcPr>
          <w:p w14:paraId="7B873D4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11.244.276</w:t>
            </w:r>
          </w:p>
        </w:tc>
        <w:tc>
          <w:tcPr>
            <w:tcW w:w="492" w:type="pct"/>
            <w:tcBorders>
              <w:top w:val="single" w:sz="4" w:space="0" w:color="95B3D7"/>
              <w:left w:val="nil"/>
              <w:bottom w:val="single" w:sz="4" w:space="0" w:color="95B3D7"/>
              <w:right w:val="nil"/>
            </w:tcBorders>
            <w:shd w:val="clear" w:color="000000" w:fill="95B3D7"/>
            <w:noWrap/>
            <w:vAlign w:val="bottom"/>
            <w:hideMark/>
          </w:tcPr>
          <w:p w14:paraId="0E46588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11.062.318,02</w:t>
            </w:r>
          </w:p>
        </w:tc>
        <w:tc>
          <w:tcPr>
            <w:tcW w:w="403" w:type="pct"/>
            <w:tcBorders>
              <w:top w:val="single" w:sz="4" w:space="0" w:color="95B3D7"/>
              <w:left w:val="single" w:sz="4" w:space="0" w:color="95B3D7"/>
              <w:bottom w:val="single" w:sz="4" w:space="0" w:color="95B3D7"/>
              <w:right w:val="single" w:sz="4" w:space="0" w:color="95B3D7"/>
            </w:tcBorders>
            <w:shd w:val="clear" w:color="000000" w:fill="95B3D7"/>
            <w:noWrap/>
            <w:vAlign w:val="bottom"/>
            <w:hideMark/>
          </w:tcPr>
          <w:p w14:paraId="3BC02D5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100,18</w:t>
            </w:r>
          </w:p>
        </w:tc>
        <w:tc>
          <w:tcPr>
            <w:tcW w:w="451" w:type="pct"/>
            <w:tcBorders>
              <w:top w:val="single" w:sz="4" w:space="0" w:color="95B3D7"/>
              <w:left w:val="nil"/>
              <w:bottom w:val="single" w:sz="4" w:space="0" w:color="95B3D7"/>
              <w:right w:val="nil"/>
            </w:tcBorders>
            <w:shd w:val="clear" w:color="000000" w:fill="95B3D7"/>
            <w:noWrap/>
            <w:vAlign w:val="bottom"/>
            <w:hideMark/>
          </w:tcPr>
          <w:p w14:paraId="5698D9D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98,38</w:t>
            </w:r>
          </w:p>
        </w:tc>
      </w:tr>
      <w:tr w:rsidR="001738AF" w:rsidRPr="001738AF" w14:paraId="78EEFB74" w14:textId="77777777" w:rsidTr="001738AF">
        <w:trPr>
          <w:trHeight w:val="240"/>
        </w:trPr>
        <w:tc>
          <w:tcPr>
            <w:tcW w:w="2179" w:type="pct"/>
            <w:tcBorders>
              <w:top w:val="nil"/>
              <w:left w:val="nil"/>
              <w:bottom w:val="nil"/>
              <w:right w:val="nil"/>
            </w:tcBorders>
            <w:shd w:val="clear" w:color="000000" w:fill="B8CCE4"/>
            <w:noWrap/>
            <w:vAlign w:val="bottom"/>
            <w:hideMark/>
          </w:tcPr>
          <w:p w14:paraId="12ED38AB" w14:textId="77777777" w:rsidR="001738AF" w:rsidRPr="001738AF" w:rsidRDefault="001738AF" w:rsidP="001738AF">
            <w:pPr>
              <w:widowControl/>
              <w:autoSpaceDE/>
              <w:autoSpaceDN/>
              <w:adjustRightInd/>
              <w:ind w:firstLineChars="100" w:firstLine="180"/>
              <w:jc w:val="left"/>
              <w:rPr>
                <w:rFonts w:ascii="Calibri" w:hAnsi="Calibri" w:cs="Calibri"/>
                <w:b/>
                <w:bCs/>
                <w:color w:val="000000"/>
                <w:sz w:val="18"/>
                <w:szCs w:val="18"/>
              </w:rPr>
            </w:pPr>
            <w:r w:rsidRPr="001738AF">
              <w:rPr>
                <w:rFonts w:ascii="Calibri" w:hAnsi="Calibri" w:cs="Calibri"/>
                <w:b/>
                <w:bCs/>
                <w:color w:val="000000"/>
                <w:sz w:val="18"/>
                <w:szCs w:val="18"/>
              </w:rPr>
              <w:t>3 Rashodi poslovanja</w:t>
            </w:r>
          </w:p>
        </w:tc>
        <w:tc>
          <w:tcPr>
            <w:tcW w:w="492" w:type="pct"/>
            <w:tcBorders>
              <w:top w:val="nil"/>
              <w:left w:val="single" w:sz="4" w:space="0" w:color="95B3D7"/>
              <w:bottom w:val="nil"/>
              <w:right w:val="single" w:sz="4" w:space="0" w:color="95B3D7"/>
            </w:tcBorders>
            <w:shd w:val="clear" w:color="000000" w:fill="B8CCE4"/>
            <w:noWrap/>
            <w:vAlign w:val="bottom"/>
            <w:hideMark/>
          </w:tcPr>
          <w:p w14:paraId="31A3B3D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9.846.414,51</w:t>
            </w:r>
          </w:p>
        </w:tc>
        <w:tc>
          <w:tcPr>
            <w:tcW w:w="492" w:type="pct"/>
            <w:tcBorders>
              <w:top w:val="nil"/>
              <w:left w:val="nil"/>
              <w:bottom w:val="nil"/>
              <w:right w:val="nil"/>
            </w:tcBorders>
            <w:shd w:val="clear" w:color="000000" w:fill="B8CCE4"/>
            <w:noWrap/>
            <w:vAlign w:val="bottom"/>
            <w:hideMark/>
          </w:tcPr>
          <w:p w14:paraId="7037100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10.642.122</w:t>
            </w:r>
          </w:p>
        </w:tc>
        <w:tc>
          <w:tcPr>
            <w:tcW w:w="492" w:type="pct"/>
            <w:tcBorders>
              <w:top w:val="nil"/>
              <w:left w:val="single" w:sz="4" w:space="0" w:color="95B3D7"/>
              <w:bottom w:val="nil"/>
              <w:right w:val="single" w:sz="4" w:space="0" w:color="95B3D7"/>
            </w:tcBorders>
            <w:shd w:val="clear" w:color="000000" w:fill="B8CCE4"/>
            <w:noWrap/>
            <w:vAlign w:val="bottom"/>
            <w:hideMark/>
          </w:tcPr>
          <w:p w14:paraId="0B6EBCF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10.351.122</w:t>
            </w:r>
          </w:p>
        </w:tc>
        <w:tc>
          <w:tcPr>
            <w:tcW w:w="492" w:type="pct"/>
            <w:tcBorders>
              <w:top w:val="nil"/>
              <w:left w:val="nil"/>
              <w:bottom w:val="nil"/>
              <w:right w:val="nil"/>
            </w:tcBorders>
            <w:shd w:val="clear" w:color="000000" w:fill="B8CCE4"/>
            <w:noWrap/>
            <w:vAlign w:val="bottom"/>
            <w:hideMark/>
          </w:tcPr>
          <w:p w14:paraId="325493F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10.185.574,58</w:t>
            </w:r>
          </w:p>
        </w:tc>
        <w:tc>
          <w:tcPr>
            <w:tcW w:w="403" w:type="pct"/>
            <w:tcBorders>
              <w:top w:val="nil"/>
              <w:left w:val="single" w:sz="4" w:space="0" w:color="95B3D7"/>
              <w:bottom w:val="nil"/>
              <w:right w:val="single" w:sz="4" w:space="0" w:color="95B3D7"/>
            </w:tcBorders>
            <w:shd w:val="clear" w:color="000000" w:fill="B8CCE4"/>
            <w:noWrap/>
            <w:vAlign w:val="bottom"/>
            <w:hideMark/>
          </w:tcPr>
          <w:p w14:paraId="71BD601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103,44</w:t>
            </w:r>
          </w:p>
        </w:tc>
        <w:tc>
          <w:tcPr>
            <w:tcW w:w="451" w:type="pct"/>
            <w:tcBorders>
              <w:top w:val="nil"/>
              <w:left w:val="nil"/>
              <w:bottom w:val="nil"/>
              <w:right w:val="nil"/>
            </w:tcBorders>
            <w:shd w:val="clear" w:color="000000" w:fill="B8CCE4"/>
            <w:noWrap/>
            <w:vAlign w:val="bottom"/>
            <w:hideMark/>
          </w:tcPr>
          <w:p w14:paraId="091B574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98,40</w:t>
            </w:r>
          </w:p>
        </w:tc>
      </w:tr>
      <w:tr w:rsidR="001738AF" w:rsidRPr="001738AF" w14:paraId="000EAD3A" w14:textId="77777777" w:rsidTr="001738AF">
        <w:trPr>
          <w:trHeight w:val="240"/>
        </w:trPr>
        <w:tc>
          <w:tcPr>
            <w:tcW w:w="2179" w:type="pct"/>
            <w:tcBorders>
              <w:top w:val="single" w:sz="4" w:space="0" w:color="95B3D7"/>
              <w:left w:val="nil"/>
              <w:bottom w:val="single" w:sz="4" w:space="0" w:color="95B3D7"/>
              <w:right w:val="nil"/>
            </w:tcBorders>
            <w:shd w:val="clear" w:color="000000" w:fill="DCE6F1"/>
            <w:noWrap/>
            <w:vAlign w:val="bottom"/>
            <w:hideMark/>
          </w:tcPr>
          <w:p w14:paraId="03317CBE"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31 Rashodi za zaposlene</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C8B323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7.965.279,96</w:t>
            </w:r>
          </w:p>
        </w:tc>
        <w:tc>
          <w:tcPr>
            <w:tcW w:w="492" w:type="pct"/>
            <w:tcBorders>
              <w:top w:val="single" w:sz="4" w:space="0" w:color="95B3D7"/>
              <w:left w:val="nil"/>
              <w:bottom w:val="single" w:sz="4" w:space="0" w:color="95B3D7"/>
              <w:right w:val="nil"/>
            </w:tcBorders>
            <w:shd w:val="clear" w:color="000000" w:fill="DCE6F1"/>
            <w:noWrap/>
            <w:vAlign w:val="bottom"/>
            <w:hideMark/>
          </w:tcPr>
          <w:p w14:paraId="2311E30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8.626.379</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003FC19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8.547.379</w:t>
            </w:r>
          </w:p>
        </w:tc>
        <w:tc>
          <w:tcPr>
            <w:tcW w:w="492" w:type="pct"/>
            <w:tcBorders>
              <w:top w:val="single" w:sz="4" w:space="0" w:color="95B3D7"/>
              <w:left w:val="nil"/>
              <w:bottom w:val="single" w:sz="4" w:space="0" w:color="95B3D7"/>
              <w:right w:val="nil"/>
            </w:tcBorders>
            <w:shd w:val="clear" w:color="000000" w:fill="DCE6F1"/>
            <w:noWrap/>
            <w:vAlign w:val="bottom"/>
            <w:hideMark/>
          </w:tcPr>
          <w:p w14:paraId="28F17D5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8.540.934,74</w:t>
            </w:r>
          </w:p>
        </w:tc>
        <w:tc>
          <w:tcPr>
            <w:tcW w:w="403"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36340A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107,23</w:t>
            </w:r>
          </w:p>
        </w:tc>
        <w:tc>
          <w:tcPr>
            <w:tcW w:w="451" w:type="pct"/>
            <w:tcBorders>
              <w:top w:val="single" w:sz="4" w:space="0" w:color="95B3D7"/>
              <w:left w:val="nil"/>
              <w:bottom w:val="single" w:sz="4" w:space="0" w:color="95B3D7"/>
              <w:right w:val="nil"/>
            </w:tcBorders>
            <w:shd w:val="clear" w:color="000000" w:fill="DCE6F1"/>
            <w:noWrap/>
            <w:vAlign w:val="bottom"/>
            <w:hideMark/>
          </w:tcPr>
          <w:p w14:paraId="21B38C0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99,92</w:t>
            </w:r>
          </w:p>
        </w:tc>
      </w:tr>
      <w:tr w:rsidR="001738AF" w:rsidRPr="001738AF" w14:paraId="16B648C1" w14:textId="77777777" w:rsidTr="001738AF">
        <w:trPr>
          <w:trHeight w:val="240"/>
        </w:trPr>
        <w:tc>
          <w:tcPr>
            <w:tcW w:w="2179" w:type="pct"/>
            <w:tcBorders>
              <w:top w:val="nil"/>
              <w:left w:val="nil"/>
              <w:bottom w:val="nil"/>
              <w:right w:val="nil"/>
            </w:tcBorders>
            <w:shd w:val="clear" w:color="auto" w:fill="auto"/>
            <w:vAlign w:val="bottom"/>
            <w:hideMark/>
          </w:tcPr>
          <w:p w14:paraId="4E1839A6"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311 Plaće</w:t>
            </w:r>
          </w:p>
        </w:tc>
        <w:tc>
          <w:tcPr>
            <w:tcW w:w="492" w:type="pct"/>
            <w:tcBorders>
              <w:top w:val="nil"/>
              <w:left w:val="single" w:sz="4" w:space="0" w:color="95B3D7"/>
              <w:bottom w:val="nil"/>
              <w:right w:val="single" w:sz="4" w:space="0" w:color="95B3D7"/>
            </w:tcBorders>
            <w:shd w:val="clear" w:color="auto" w:fill="auto"/>
            <w:noWrap/>
            <w:vAlign w:val="bottom"/>
            <w:hideMark/>
          </w:tcPr>
          <w:p w14:paraId="12687C4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6.673.155,71</w:t>
            </w:r>
          </w:p>
        </w:tc>
        <w:tc>
          <w:tcPr>
            <w:tcW w:w="492" w:type="pct"/>
            <w:tcBorders>
              <w:top w:val="nil"/>
              <w:left w:val="nil"/>
              <w:bottom w:val="nil"/>
              <w:right w:val="nil"/>
            </w:tcBorders>
            <w:shd w:val="clear" w:color="auto" w:fill="auto"/>
            <w:noWrap/>
            <w:vAlign w:val="bottom"/>
            <w:hideMark/>
          </w:tcPr>
          <w:p w14:paraId="4D73C71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7.140.488</w:t>
            </w:r>
          </w:p>
        </w:tc>
        <w:tc>
          <w:tcPr>
            <w:tcW w:w="492" w:type="pct"/>
            <w:tcBorders>
              <w:top w:val="nil"/>
              <w:left w:val="single" w:sz="4" w:space="0" w:color="95B3D7"/>
              <w:bottom w:val="nil"/>
              <w:right w:val="single" w:sz="4" w:space="0" w:color="95B3D7"/>
            </w:tcBorders>
            <w:shd w:val="clear" w:color="auto" w:fill="auto"/>
            <w:noWrap/>
            <w:vAlign w:val="bottom"/>
            <w:hideMark/>
          </w:tcPr>
          <w:p w14:paraId="6DAAAD4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7.081.488</w:t>
            </w:r>
          </w:p>
        </w:tc>
        <w:tc>
          <w:tcPr>
            <w:tcW w:w="492" w:type="pct"/>
            <w:tcBorders>
              <w:top w:val="nil"/>
              <w:left w:val="nil"/>
              <w:bottom w:val="nil"/>
              <w:right w:val="nil"/>
            </w:tcBorders>
            <w:shd w:val="clear" w:color="auto" w:fill="auto"/>
            <w:noWrap/>
            <w:vAlign w:val="bottom"/>
            <w:hideMark/>
          </w:tcPr>
          <w:p w14:paraId="47C56AE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7.077.755,84</w:t>
            </w:r>
          </w:p>
        </w:tc>
        <w:tc>
          <w:tcPr>
            <w:tcW w:w="403" w:type="pct"/>
            <w:tcBorders>
              <w:top w:val="nil"/>
              <w:left w:val="single" w:sz="4" w:space="0" w:color="95B3D7"/>
              <w:bottom w:val="nil"/>
              <w:right w:val="single" w:sz="4" w:space="0" w:color="95B3D7"/>
            </w:tcBorders>
            <w:shd w:val="clear" w:color="auto" w:fill="auto"/>
            <w:noWrap/>
            <w:vAlign w:val="bottom"/>
            <w:hideMark/>
          </w:tcPr>
          <w:p w14:paraId="7BA32D7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106,06</w:t>
            </w:r>
          </w:p>
        </w:tc>
        <w:tc>
          <w:tcPr>
            <w:tcW w:w="451" w:type="pct"/>
            <w:tcBorders>
              <w:top w:val="nil"/>
              <w:left w:val="nil"/>
              <w:bottom w:val="nil"/>
              <w:right w:val="nil"/>
            </w:tcBorders>
            <w:shd w:val="clear" w:color="auto" w:fill="auto"/>
            <w:noWrap/>
            <w:vAlign w:val="bottom"/>
            <w:hideMark/>
          </w:tcPr>
          <w:p w14:paraId="3E13BFE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99,95</w:t>
            </w:r>
          </w:p>
        </w:tc>
      </w:tr>
      <w:tr w:rsidR="001738AF" w:rsidRPr="001738AF" w14:paraId="6724C7A4" w14:textId="77777777" w:rsidTr="001738AF">
        <w:trPr>
          <w:trHeight w:val="240"/>
        </w:trPr>
        <w:tc>
          <w:tcPr>
            <w:tcW w:w="2179" w:type="pct"/>
            <w:tcBorders>
              <w:top w:val="single" w:sz="4" w:space="0" w:color="95B3D7"/>
              <w:left w:val="nil"/>
              <w:bottom w:val="single" w:sz="4" w:space="0" w:color="95B3D7"/>
              <w:right w:val="nil"/>
            </w:tcBorders>
            <w:shd w:val="clear" w:color="auto" w:fill="auto"/>
            <w:vAlign w:val="bottom"/>
            <w:hideMark/>
          </w:tcPr>
          <w:p w14:paraId="6A11D84C"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3111 Plaće za redovni rad</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9A3C0B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6.646.721,76</w:t>
            </w:r>
          </w:p>
        </w:tc>
        <w:tc>
          <w:tcPr>
            <w:tcW w:w="492" w:type="pct"/>
            <w:tcBorders>
              <w:top w:val="single" w:sz="4" w:space="0" w:color="95B3D7"/>
              <w:left w:val="nil"/>
              <w:bottom w:val="single" w:sz="4" w:space="0" w:color="95B3D7"/>
              <w:right w:val="nil"/>
            </w:tcBorders>
            <w:shd w:val="clear" w:color="auto" w:fill="auto"/>
            <w:noWrap/>
            <w:vAlign w:val="bottom"/>
            <w:hideMark/>
          </w:tcPr>
          <w:p w14:paraId="2A23FB0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7.113.943</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162F6C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7.054.943</w:t>
            </w:r>
          </w:p>
        </w:tc>
        <w:tc>
          <w:tcPr>
            <w:tcW w:w="492" w:type="pct"/>
            <w:tcBorders>
              <w:top w:val="single" w:sz="4" w:space="0" w:color="95B3D7"/>
              <w:left w:val="nil"/>
              <w:bottom w:val="single" w:sz="4" w:space="0" w:color="95B3D7"/>
              <w:right w:val="nil"/>
            </w:tcBorders>
            <w:shd w:val="clear" w:color="auto" w:fill="auto"/>
            <w:noWrap/>
            <w:vAlign w:val="bottom"/>
            <w:hideMark/>
          </w:tcPr>
          <w:p w14:paraId="0CA19D4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7.054.804,05</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F1AE7E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106,14</w:t>
            </w:r>
          </w:p>
        </w:tc>
        <w:tc>
          <w:tcPr>
            <w:tcW w:w="451" w:type="pct"/>
            <w:tcBorders>
              <w:top w:val="single" w:sz="4" w:space="0" w:color="95B3D7"/>
              <w:left w:val="nil"/>
              <w:bottom w:val="single" w:sz="4" w:space="0" w:color="95B3D7"/>
              <w:right w:val="nil"/>
            </w:tcBorders>
            <w:shd w:val="clear" w:color="auto" w:fill="auto"/>
            <w:noWrap/>
            <w:vAlign w:val="bottom"/>
            <w:hideMark/>
          </w:tcPr>
          <w:p w14:paraId="3640987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100,00</w:t>
            </w:r>
          </w:p>
        </w:tc>
      </w:tr>
      <w:tr w:rsidR="001738AF" w:rsidRPr="001738AF" w14:paraId="3B19C625" w14:textId="77777777" w:rsidTr="001738AF">
        <w:trPr>
          <w:trHeight w:val="240"/>
        </w:trPr>
        <w:tc>
          <w:tcPr>
            <w:tcW w:w="2179" w:type="pct"/>
            <w:tcBorders>
              <w:top w:val="nil"/>
              <w:left w:val="nil"/>
              <w:bottom w:val="nil"/>
              <w:right w:val="nil"/>
            </w:tcBorders>
            <w:shd w:val="clear" w:color="auto" w:fill="auto"/>
            <w:vAlign w:val="bottom"/>
            <w:hideMark/>
          </w:tcPr>
          <w:p w14:paraId="090BDF4F"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3113 Plaće za prekovremeni rad</w:t>
            </w:r>
          </w:p>
        </w:tc>
        <w:tc>
          <w:tcPr>
            <w:tcW w:w="492" w:type="pct"/>
            <w:tcBorders>
              <w:top w:val="nil"/>
              <w:left w:val="single" w:sz="4" w:space="0" w:color="95B3D7"/>
              <w:bottom w:val="nil"/>
              <w:right w:val="single" w:sz="4" w:space="0" w:color="95B3D7"/>
            </w:tcBorders>
            <w:shd w:val="clear" w:color="auto" w:fill="auto"/>
            <w:noWrap/>
            <w:vAlign w:val="bottom"/>
            <w:hideMark/>
          </w:tcPr>
          <w:p w14:paraId="27828F6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26.433,95</w:t>
            </w:r>
          </w:p>
        </w:tc>
        <w:tc>
          <w:tcPr>
            <w:tcW w:w="492" w:type="pct"/>
            <w:tcBorders>
              <w:top w:val="nil"/>
              <w:left w:val="nil"/>
              <w:bottom w:val="nil"/>
              <w:right w:val="nil"/>
            </w:tcBorders>
            <w:shd w:val="clear" w:color="auto" w:fill="auto"/>
            <w:noWrap/>
            <w:vAlign w:val="bottom"/>
            <w:hideMark/>
          </w:tcPr>
          <w:p w14:paraId="56C5052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26.545</w:t>
            </w:r>
          </w:p>
        </w:tc>
        <w:tc>
          <w:tcPr>
            <w:tcW w:w="492" w:type="pct"/>
            <w:tcBorders>
              <w:top w:val="nil"/>
              <w:left w:val="single" w:sz="4" w:space="0" w:color="95B3D7"/>
              <w:bottom w:val="nil"/>
              <w:right w:val="single" w:sz="4" w:space="0" w:color="95B3D7"/>
            </w:tcBorders>
            <w:shd w:val="clear" w:color="auto" w:fill="auto"/>
            <w:noWrap/>
            <w:vAlign w:val="bottom"/>
            <w:hideMark/>
          </w:tcPr>
          <w:p w14:paraId="5F6306E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26.545</w:t>
            </w:r>
          </w:p>
        </w:tc>
        <w:tc>
          <w:tcPr>
            <w:tcW w:w="492" w:type="pct"/>
            <w:tcBorders>
              <w:top w:val="nil"/>
              <w:left w:val="nil"/>
              <w:bottom w:val="nil"/>
              <w:right w:val="nil"/>
            </w:tcBorders>
            <w:shd w:val="clear" w:color="auto" w:fill="auto"/>
            <w:noWrap/>
            <w:vAlign w:val="bottom"/>
            <w:hideMark/>
          </w:tcPr>
          <w:p w14:paraId="750D8B8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22.951,79</w:t>
            </w:r>
          </w:p>
        </w:tc>
        <w:tc>
          <w:tcPr>
            <w:tcW w:w="403" w:type="pct"/>
            <w:tcBorders>
              <w:top w:val="nil"/>
              <w:left w:val="single" w:sz="4" w:space="0" w:color="95B3D7"/>
              <w:bottom w:val="nil"/>
              <w:right w:val="single" w:sz="4" w:space="0" w:color="95B3D7"/>
            </w:tcBorders>
            <w:shd w:val="clear" w:color="auto" w:fill="auto"/>
            <w:noWrap/>
            <w:vAlign w:val="bottom"/>
            <w:hideMark/>
          </w:tcPr>
          <w:p w14:paraId="23AFE88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86,83</w:t>
            </w:r>
          </w:p>
        </w:tc>
        <w:tc>
          <w:tcPr>
            <w:tcW w:w="451" w:type="pct"/>
            <w:tcBorders>
              <w:top w:val="nil"/>
              <w:left w:val="nil"/>
              <w:bottom w:val="nil"/>
              <w:right w:val="nil"/>
            </w:tcBorders>
            <w:shd w:val="clear" w:color="auto" w:fill="auto"/>
            <w:noWrap/>
            <w:vAlign w:val="bottom"/>
            <w:hideMark/>
          </w:tcPr>
          <w:p w14:paraId="2E778AE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86,46</w:t>
            </w:r>
          </w:p>
        </w:tc>
      </w:tr>
      <w:tr w:rsidR="001738AF" w:rsidRPr="001738AF" w14:paraId="537BD2ED"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66D352AE"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312 Ostali rashodi za zaposlene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417C3D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213.091,00</w:t>
            </w:r>
          </w:p>
        </w:tc>
        <w:tc>
          <w:tcPr>
            <w:tcW w:w="492" w:type="pct"/>
            <w:tcBorders>
              <w:top w:val="single" w:sz="4" w:space="0" w:color="95B3D7"/>
              <w:left w:val="nil"/>
              <w:bottom w:val="single" w:sz="4" w:space="0" w:color="95B3D7"/>
              <w:right w:val="nil"/>
            </w:tcBorders>
            <w:shd w:val="clear" w:color="auto" w:fill="auto"/>
            <w:noWrap/>
            <w:vAlign w:val="bottom"/>
            <w:hideMark/>
          </w:tcPr>
          <w:p w14:paraId="2EC1C94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307.711</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B539A6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307.711</w:t>
            </w:r>
          </w:p>
        </w:tc>
        <w:tc>
          <w:tcPr>
            <w:tcW w:w="492" w:type="pct"/>
            <w:tcBorders>
              <w:top w:val="single" w:sz="4" w:space="0" w:color="95B3D7"/>
              <w:left w:val="nil"/>
              <w:bottom w:val="single" w:sz="4" w:space="0" w:color="95B3D7"/>
              <w:right w:val="nil"/>
            </w:tcBorders>
            <w:shd w:val="clear" w:color="auto" w:fill="auto"/>
            <w:noWrap/>
            <w:vAlign w:val="bottom"/>
            <w:hideMark/>
          </w:tcPr>
          <w:p w14:paraId="3156898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310.158,58</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FE6D76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145,55</w:t>
            </w:r>
          </w:p>
        </w:tc>
        <w:tc>
          <w:tcPr>
            <w:tcW w:w="451" w:type="pct"/>
            <w:tcBorders>
              <w:top w:val="single" w:sz="4" w:space="0" w:color="95B3D7"/>
              <w:left w:val="nil"/>
              <w:bottom w:val="single" w:sz="4" w:space="0" w:color="95B3D7"/>
              <w:right w:val="nil"/>
            </w:tcBorders>
            <w:shd w:val="clear" w:color="auto" w:fill="auto"/>
            <w:noWrap/>
            <w:vAlign w:val="bottom"/>
            <w:hideMark/>
          </w:tcPr>
          <w:p w14:paraId="35E2A90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100,80</w:t>
            </w:r>
          </w:p>
        </w:tc>
      </w:tr>
      <w:tr w:rsidR="001738AF" w:rsidRPr="001738AF" w14:paraId="31BB7526" w14:textId="77777777" w:rsidTr="001738AF">
        <w:trPr>
          <w:trHeight w:val="240"/>
        </w:trPr>
        <w:tc>
          <w:tcPr>
            <w:tcW w:w="2179" w:type="pct"/>
            <w:tcBorders>
              <w:top w:val="nil"/>
              <w:left w:val="nil"/>
              <w:bottom w:val="nil"/>
              <w:right w:val="nil"/>
            </w:tcBorders>
            <w:shd w:val="clear" w:color="auto" w:fill="auto"/>
            <w:vAlign w:val="bottom"/>
            <w:hideMark/>
          </w:tcPr>
          <w:p w14:paraId="5057B652"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3121 Ostali rashodi za zaposlene</w:t>
            </w:r>
          </w:p>
        </w:tc>
        <w:tc>
          <w:tcPr>
            <w:tcW w:w="492" w:type="pct"/>
            <w:tcBorders>
              <w:top w:val="nil"/>
              <w:left w:val="single" w:sz="4" w:space="0" w:color="95B3D7"/>
              <w:bottom w:val="nil"/>
              <w:right w:val="single" w:sz="4" w:space="0" w:color="95B3D7"/>
            </w:tcBorders>
            <w:shd w:val="clear" w:color="auto" w:fill="auto"/>
            <w:noWrap/>
            <w:vAlign w:val="bottom"/>
            <w:hideMark/>
          </w:tcPr>
          <w:p w14:paraId="4FFA5B0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213.091,00</w:t>
            </w:r>
          </w:p>
        </w:tc>
        <w:tc>
          <w:tcPr>
            <w:tcW w:w="492" w:type="pct"/>
            <w:tcBorders>
              <w:top w:val="nil"/>
              <w:left w:val="nil"/>
              <w:bottom w:val="nil"/>
              <w:right w:val="nil"/>
            </w:tcBorders>
            <w:shd w:val="clear" w:color="auto" w:fill="auto"/>
            <w:noWrap/>
            <w:vAlign w:val="bottom"/>
            <w:hideMark/>
          </w:tcPr>
          <w:p w14:paraId="5283035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307.711</w:t>
            </w:r>
          </w:p>
        </w:tc>
        <w:tc>
          <w:tcPr>
            <w:tcW w:w="492" w:type="pct"/>
            <w:tcBorders>
              <w:top w:val="nil"/>
              <w:left w:val="single" w:sz="4" w:space="0" w:color="95B3D7"/>
              <w:bottom w:val="nil"/>
              <w:right w:val="single" w:sz="4" w:space="0" w:color="95B3D7"/>
            </w:tcBorders>
            <w:shd w:val="clear" w:color="auto" w:fill="auto"/>
            <w:noWrap/>
            <w:vAlign w:val="bottom"/>
            <w:hideMark/>
          </w:tcPr>
          <w:p w14:paraId="07232A3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307.711</w:t>
            </w:r>
          </w:p>
        </w:tc>
        <w:tc>
          <w:tcPr>
            <w:tcW w:w="492" w:type="pct"/>
            <w:tcBorders>
              <w:top w:val="nil"/>
              <w:left w:val="nil"/>
              <w:bottom w:val="nil"/>
              <w:right w:val="nil"/>
            </w:tcBorders>
            <w:shd w:val="clear" w:color="auto" w:fill="auto"/>
            <w:noWrap/>
            <w:vAlign w:val="bottom"/>
            <w:hideMark/>
          </w:tcPr>
          <w:p w14:paraId="6B17807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310.158,58</w:t>
            </w:r>
          </w:p>
        </w:tc>
        <w:tc>
          <w:tcPr>
            <w:tcW w:w="403" w:type="pct"/>
            <w:tcBorders>
              <w:top w:val="nil"/>
              <w:left w:val="single" w:sz="4" w:space="0" w:color="95B3D7"/>
              <w:bottom w:val="nil"/>
              <w:right w:val="single" w:sz="4" w:space="0" w:color="95B3D7"/>
            </w:tcBorders>
            <w:shd w:val="clear" w:color="auto" w:fill="auto"/>
            <w:noWrap/>
            <w:vAlign w:val="bottom"/>
            <w:hideMark/>
          </w:tcPr>
          <w:p w14:paraId="7FA8DC3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145,55</w:t>
            </w:r>
          </w:p>
        </w:tc>
        <w:tc>
          <w:tcPr>
            <w:tcW w:w="451" w:type="pct"/>
            <w:tcBorders>
              <w:top w:val="nil"/>
              <w:left w:val="nil"/>
              <w:bottom w:val="nil"/>
              <w:right w:val="nil"/>
            </w:tcBorders>
            <w:shd w:val="clear" w:color="auto" w:fill="auto"/>
            <w:noWrap/>
            <w:vAlign w:val="bottom"/>
            <w:hideMark/>
          </w:tcPr>
          <w:p w14:paraId="0C158C7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100,80</w:t>
            </w:r>
          </w:p>
        </w:tc>
      </w:tr>
      <w:tr w:rsidR="001738AF" w:rsidRPr="001738AF" w14:paraId="3705ADCF" w14:textId="77777777" w:rsidTr="001738AF">
        <w:trPr>
          <w:trHeight w:val="240"/>
        </w:trPr>
        <w:tc>
          <w:tcPr>
            <w:tcW w:w="2179" w:type="pct"/>
            <w:tcBorders>
              <w:top w:val="single" w:sz="4" w:space="0" w:color="95B3D7"/>
              <w:left w:val="nil"/>
              <w:bottom w:val="single" w:sz="4" w:space="0" w:color="95B3D7"/>
              <w:right w:val="nil"/>
            </w:tcBorders>
            <w:shd w:val="clear" w:color="auto" w:fill="auto"/>
            <w:vAlign w:val="bottom"/>
            <w:hideMark/>
          </w:tcPr>
          <w:p w14:paraId="7F89EF31"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313 Doprinosi za plaće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9AA3A7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1.079.033,25</w:t>
            </w:r>
          </w:p>
        </w:tc>
        <w:tc>
          <w:tcPr>
            <w:tcW w:w="492" w:type="pct"/>
            <w:tcBorders>
              <w:top w:val="single" w:sz="4" w:space="0" w:color="95B3D7"/>
              <w:left w:val="nil"/>
              <w:bottom w:val="single" w:sz="4" w:space="0" w:color="95B3D7"/>
              <w:right w:val="nil"/>
            </w:tcBorders>
            <w:shd w:val="clear" w:color="auto" w:fill="auto"/>
            <w:noWrap/>
            <w:vAlign w:val="bottom"/>
            <w:hideMark/>
          </w:tcPr>
          <w:p w14:paraId="4290BC7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1.178.180</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59B230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1.158.180</w:t>
            </w:r>
          </w:p>
        </w:tc>
        <w:tc>
          <w:tcPr>
            <w:tcW w:w="492" w:type="pct"/>
            <w:tcBorders>
              <w:top w:val="single" w:sz="4" w:space="0" w:color="95B3D7"/>
              <w:left w:val="nil"/>
              <w:bottom w:val="single" w:sz="4" w:space="0" w:color="95B3D7"/>
              <w:right w:val="nil"/>
            </w:tcBorders>
            <w:shd w:val="clear" w:color="auto" w:fill="auto"/>
            <w:noWrap/>
            <w:vAlign w:val="bottom"/>
            <w:hideMark/>
          </w:tcPr>
          <w:p w14:paraId="6B9ACE4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1.153.020,32</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CE86FB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106,86</w:t>
            </w:r>
          </w:p>
        </w:tc>
        <w:tc>
          <w:tcPr>
            <w:tcW w:w="451" w:type="pct"/>
            <w:tcBorders>
              <w:top w:val="single" w:sz="4" w:space="0" w:color="95B3D7"/>
              <w:left w:val="nil"/>
              <w:bottom w:val="single" w:sz="4" w:space="0" w:color="95B3D7"/>
              <w:right w:val="nil"/>
            </w:tcBorders>
            <w:shd w:val="clear" w:color="auto" w:fill="auto"/>
            <w:noWrap/>
            <w:vAlign w:val="bottom"/>
            <w:hideMark/>
          </w:tcPr>
          <w:p w14:paraId="6C132F2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99,55</w:t>
            </w:r>
          </w:p>
        </w:tc>
      </w:tr>
      <w:tr w:rsidR="001738AF" w:rsidRPr="001738AF" w14:paraId="2A485FC5" w14:textId="77777777" w:rsidTr="001738AF">
        <w:trPr>
          <w:trHeight w:val="240"/>
        </w:trPr>
        <w:tc>
          <w:tcPr>
            <w:tcW w:w="2179" w:type="pct"/>
            <w:tcBorders>
              <w:top w:val="nil"/>
              <w:left w:val="nil"/>
              <w:bottom w:val="nil"/>
              <w:right w:val="nil"/>
            </w:tcBorders>
            <w:shd w:val="clear" w:color="auto" w:fill="auto"/>
            <w:vAlign w:val="bottom"/>
            <w:hideMark/>
          </w:tcPr>
          <w:p w14:paraId="6FE9BDBB"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3132 Doprinosi za obvezno zdravstveno osiguranje</w:t>
            </w:r>
          </w:p>
        </w:tc>
        <w:tc>
          <w:tcPr>
            <w:tcW w:w="492" w:type="pct"/>
            <w:tcBorders>
              <w:top w:val="nil"/>
              <w:left w:val="single" w:sz="4" w:space="0" w:color="95B3D7"/>
              <w:bottom w:val="nil"/>
              <w:right w:val="single" w:sz="4" w:space="0" w:color="95B3D7"/>
            </w:tcBorders>
            <w:shd w:val="clear" w:color="auto" w:fill="auto"/>
            <w:noWrap/>
            <w:vAlign w:val="bottom"/>
            <w:hideMark/>
          </w:tcPr>
          <w:p w14:paraId="75209F7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1.079.033,25</w:t>
            </w:r>
          </w:p>
        </w:tc>
        <w:tc>
          <w:tcPr>
            <w:tcW w:w="492" w:type="pct"/>
            <w:tcBorders>
              <w:top w:val="nil"/>
              <w:left w:val="nil"/>
              <w:bottom w:val="nil"/>
              <w:right w:val="nil"/>
            </w:tcBorders>
            <w:shd w:val="clear" w:color="auto" w:fill="auto"/>
            <w:noWrap/>
            <w:vAlign w:val="bottom"/>
            <w:hideMark/>
          </w:tcPr>
          <w:p w14:paraId="7F92DE9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1.178.180</w:t>
            </w:r>
          </w:p>
        </w:tc>
        <w:tc>
          <w:tcPr>
            <w:tcW w:w="492" w:type="pct"/>
            <w:tcBorders>
              <w:top w:val="nil"/>
              <w:left w:val="single" w:sz="4" w:space="0" w:color="95B3D7"/>
              <w:bottom w:val="nil"/>
              <w:right w:val="single" w:sz="4" w:space="0" w:color="95B3D7"/>
            </w:tcBorders>
            <w:shd w:val="clear" w:color="auto" w:fill="auto"/>
            <w:noWrap/>
            <w:vAlign w:val="bottom"/>
            <w:hideMark/>
          </w:tcPr>
          <w:p w14:paraId="4071330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1.158.180</w:t>
            </w:r>
          </w:p>
        </w:tc>
        <w:tc>
          <w:tcPr>
            <w:tcW w:w="492" w:type="pct"/>
            <w:tcBorders>
              <w:top w:val="nil"/>
              <w:left w:val="nil"/>
              <w:bottom w:val="nil"/>
              <w:right w:val="nil"/>
            </w:tcBorders>
            <w:shd w:val="clear" w:color="auto" w:fill="auto"/>
            <w:noWrap/>
            <w:vAlign w:val="bottom"/>
            <w:hideMark/>
          </w:tcPr>
          <w:p w14:paraId="51BF38A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1.153.020,32</w:t>
            </w:r>
          </w:p>
        </w:tc>
        <w:tc>
          <w:tcPr>
            <w:tcW w:w="403" w:type="pct"/>
            <w:tcBorders>
              <w:top w:val="nil"/>
              <w:left w:val="single" w:sz="4" w:space="0" w:color="95B3D7"/>
              <w:bottom w:val="nil"/>
              <w:right w:val="single" w:sz="4" w:space="0" w:color="95B3D7"/>
            </w:tcBorders>
            <w:shd w:val="clear" w:color="auto" w:fill="auto"/>
            <w:noWrap/>
            <w:vAlign w:val="bottom"/>
            <w:hideMark/>
          </w:tcPr>
          <w:p w14:paraId="2FEC755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106,86</w:t>
            </w:r>
          </w:p>
        </w:tc>
        <w:tc>
          <w:tcPr>
            <w:tcW w:w="451" w:type="pct"/>
            <w:tcBorders>
              <w:top w:val="nil"/>
              <w:left w:val="nil"/>
              <w:bottom w:val="nil"/>
              <w:right w:val="nil"/>
            </w:tcBorders>
            <w:shd w:val="clear" w:color="auto" w:fill="auto"/>
            <w:noWrap/>
            <w:vAlign w:val="bottom"/>
            <w:hideMark/>
          </w:tcPr>
          <w:p w14:paraId="1D5D95C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99,55</w:t>
            </w:r>
          </w:p>
        </w:tc>
      </w:tr>
      <w:tr w:rsidR="001738AF" w:rsidRPr="001738AF" w14:paraId="47422928" w14:textId="77777777" w:rsidTr="001738AF">
        <w:trPr>
          <w:trHeight w:val="240"/>
        </w:trPr>
        <w:tc>
          <w:tcPr>
            <w:tcW w:w="2179" w:type="pct"/>
            <w:tcBorders>
              <w:top w:val="single" w:sz="4" w:space="0" w:color="95B3D7"/>
              <w:left w:val="nil"/>
              <w:bottom w:val="single" w:sz="4" w:space="0" w:color="95B3D7"/>
              <w:right w:val="nil"/>
            </w:tcBorders>
            <w:shd w:val="clear" w:color="000000" w:fill="DCE6F1"/>
            <w:noWrap/>
            <w:vAlign w:val="bottom"/>
            <w:hideMark/>
          </w:tcPr>
          <w:p w14:paraId="358EC5EF"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32 Materijalni rashodi</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14C329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1.877.441,09</w:t>
            </w:r>
          </w:p>
        </w:tc>
        <w:tc>
          <w:tcPr>
            <w:tcW w:w="492" w:type="pct"/>
            <w:tcBorders>
              <w:top w:val="single" w:sz="4" w:space="0" w:color="95B3D7"/>
              <w:left w:val="nil"/>
              <w:bottom w:val="single" w:sz="4" w:space="0" w:color="95B3D7"/>
              <w:right w:val="nil"/>
            </w:tcBorders>
            <w:shd w:val="clear" w:color="000000" w:fill="DCE6F1"/>
            <w:noWrap/>
            <w:vAlign w:val="bottom"/>
            <w:hideMark/>
          </w:tcPr>
          <w:p w14:paraId="233DEA1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1.990.713</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949DA9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1.778.713</w:t>
            </w:r>
          </w:p>
        </w:tc>
        <w:tc>
          <w:tcPr>
            <w:tcW w:w="492" w:type="pct"/>
            <w:tcBorders>
              <w:top w:val="single" w:sz="4" w:space="0" w:color="95B3D7"/>
              <w:left w:val="nil"/>
              <w:bottom w:val="single" w:sz="4" w:space="0" w:color="95B3D7"/>
              <w:right w:val="nil"/>
            </w:tcBorders>
            <w:shd w:val="clear" w:color="000000" w:fill="DCE6F1"/>
            <w:noWrap/>
            <w:vAlign w:val="bottom"/>
            <w:hideMark/>
          </w:tcPr>
          <w:p w14:paraId="41534D6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1.631.430,67</w:t>
            </w:r>
          </w:p>
        </w:tc>
        <w:tc>
          <w:tcPr>
            <w:tcW w:w="403"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3CC9ED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86,90</w:t>
            </w:r>
          </w:p>
        </w:tc>
        <w:tc>
          <w:tcPr>
            <w:tcW w:w="451" w:type="pct"/>
            <w:tcBorders>
              <w:top w:val="single" w:sz="4" w:space="0" w:color="95B3D7"/>
              <w:left w:val="nil"/>
              <w:bottom w:val="single" w:sz="4" w:space="0" w:color="95B3D7"/>
              <w:right w:val="nil"/>
            </w:tcBorders>
            <w:shd w:val="clear" w:color="000000" w:fill="DCE6F1"/>
            <w:noWrap/>
            <w:vAlign w:val="bottom"/>
            <w:hideMark/>
          </w:tcPr>
          <w:p w14:paraId="4BF669B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91,72</w:t>
            </w:r>
          </w:p>
        </w:tc>
      </w:tr>
      <w:tr w:rsidR="001738AF" w:rsidRPr="001738AF" w14:paraId="6CB93D66" w14:textId="77777777" w:rsidTr="001738AF">
        <w:trPr>
          <w:trHeight w:val="240"/>
        </w:trPr>
        <w:tc>
          <w:tcPr>
            <w:tcW w:w="2179" w:type="pct"/>
            <w:tcBorders>
              <w:top w:val="nil"/>
              <w:left w:val="nil"/>
              <w:bottom w:val="nil"/>
              <w:right w:val="nil"/>
            </w:tcBorders>
            <w:shd w:val="clear" w:color="auto" w:fill="auto"/>
            <w:vAlign w:val="bottom"/>
            <w:hideMark/>
          </w:tcPr>
          <w:p w14:paraId="5031CCA8"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321 Naknade troškova zaposlenima</w:t>
            </w:r>
          </w:p>
        </w:tc>
        <w:tc>
          <w:tcPr>
            <w:tcW w:w="492" w:type="pct"/>
            <w:tcBorders>
              <w:top w:val="nil"/>
              <w:left w:val="single" w:sz="4" w:space="0" w:color="95B3D7"/>
              <w:bottom w:val="nil"/>
              <w:right w:val="single" w:sz="4" w:space="0" w:color="95B3D7"/>
            </w:tcBorders>
            <w:shd w:val="clear" w:color="auto" w:fill="auto"/>
            <w:noWrap/>
            <w:vAlign w:val="bottom"/>
            <w:hideMark/>
          </w:tcPr>
          <w:p w14:paraId="21851CC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354.562,68</w:t>
            </w:r>
          </w:p>
        </w:tc>
        <w:tc>
          <w:tcPr>
            <w:tcW w:w="492" w:type="pct"/>
            <w:tcBorders>
              <w:top w:val="nil"/>
              <w:left w:val="nil"/>
              <w:bottom w:val="nil"/>
              <w:right w:val="nil"/>
            </w:tcBorders>
            <w:shd w:val="clear" w:color="auto" w:fill="auto"/>
            <w:noWrap/>
            <w:vAlign w:val="bottom"/>
            <w:hideMark/>
          </w:tcPr>
          <w:p w14:paraId="0AAEC12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408.645</w:t>
            </w:r>
          </w:p>
        </w:tc>
        <w:tc>
          <w:tcPr>
            <w:tcW w:w="492" w:type="pct"/>
            <w:tcBorders>
              <w:top w:val="nil"/>
              <w:left w:val="single" w:sz="4" w:space="0" w:color="95B3D7"/>
              <w:bottom w:val="nil"/>
              <w:right w:val="single" w:sz="4" w:space="0" w:color="95B3D7"/>
            </w:tcBorders>
            <w:shd w:val="clear" w:color="auto" w:fill="auto"/>
            <w:noWrap/>
            <w:vAlign w:val="bottom"/>
            <w:hideMark/>
          </w:tcPr>
          <w:p w14:paraId="6D350FD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359.645</w:t>
            </w:r>
          </w:p>
        </w:tc>
        <w:tc>
          <w:tcPr>
            <w:tcW w:w="492" w:type="pct"/>
            <w:tcBorders>
              <w:top w:val="nil"/>
              <w:left w:val="nil"/>
              <w:bottom w:val="nil"/>
              <w:right w:val="nil"/>
            </w:tcBorders>
            <w:shd w:val="clear" w:color="auto" w:fill="auto"/>
            <w:noWrap/>
            <w:vAlign w:val="bottom"/>
            <w:hideMark/>
          </w:tcPr>
          <w:p w14:paraId="27ACC18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323.594,09</w:t>
            </w:r>
          </w:p>
        </w:tc>
        <w:tc>
          <w:tcPr>
            <w:tcW w:w="403" w:type="pct"/>
            <w:tcBorders>
              <w:top w:val="nil"/>
              <w:left w:val="single" w:sz="4" w:space="0" w:color="95B3D7"/>
              <w:bottom w:val="nil"/>
              <w:right w:val="single" w:sz="4" w:space="0" w:color="95B3D7"/>
            </w:tcBorders>
            <w:shd w:val="clear" w:color="auto" w:fill="auto"/>
            <w:noWrap/>
            <w:vAlign w:val="bottom"/>
            <w:hideMark/>
          </w:tcPr>
          <w:p w14:paraId="29895AF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91,27</w:t>
            </w:r>
          </w:p>
        </w:tc>
        <w:tc>
          <w:tcPr>
            <w:tcW w:w="451" w:type="pct"/>
            <w:tcBorders>
              <w:top w:val="nil"/>
              <w:left w:val="nil"/>
              <w:bottom w:val="nil"/>
              <w:right w:val="nil"/>
            </w:tcBorders>
            <w:shd w:val="clear" w:color="auto" w:fill="auto"/>
            <w:noWrap/>
            <w:vAlign w:val="bottom"/>
            <w:hideMark/>
          </w:tcPr>
          <w:p w14:paraId="1572B5E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89,98</w:t>
            </w:r>
          </w:p>
        </w:tc>
      </w:tr>
      <w:tr w:rsidR="001738AF" w:rsidRPr="001738AF" w14:paraId="365CCDE6"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19757422"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3211 Službena putovanja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9F4FC6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166.707,57</w:t>
            </w:r>
          </w:p>
        </w:tc>
        <w:tc>
          <w:tcPr>
            <w:tcW w:w="492" w:type="pct"/>
            <w:tcBorders>
              <w:top w:val="single" w:sz="4" w:space="0" w:color="95B3D7"/>
              <w:left w:val="nil"/>
              <w:bottom w:val="single" w:sz="4" w:space="0" w:color="95B3D7"/>
              <w:right w:val="nil"/>
            </w:tcBorders>
            <w:shd w:val="clear" w:color="auto" w:fill="auto"/>
            <w:noWrap/>
            <w:vAlign w:val="bottom"/>
            <w:hideMark/>
          </w:tcPr>
          <w:p w14:paraId="568453F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182.891</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D95DBF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157.891</w:t>
            </w:r>
          </w:p>
        </w:tc>
        <w:tc>
          <w:tcPr>
            <w:tcW w:w="492" w:type="pct"/>
            <w:tcBorders>
              <w:top w:val="single" w:sz="4" w:space="0" w:color="95B3D7"/>
              <w:left w:val="nil"/>
              <w:bottom w:val="single" w:sz="4" w:space="0" w:color="95B3D7"/>
              <w:right w:val="nil"/>
            </w:tcBorders>
            <w:shd w:val="clear" w:color="auto" w:fill="auto"/>
            <w:noWrap/>
            <w:vAlign w:val="bottom"/>
            <w:hideMark/>
          </w:tcPr>
          <w:p w14:paraId="69242CC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131.394,94</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BD7BCC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78,82</w:t>
            </w:r>
          </w:p>
        </w:tc>
        <w:tc>
          <w:tcPr>
            <w:tcW w:w="451" w:type="pct"/>
            <w:tcBorders>
              <w:top w:val="single" w:sz="4" w:space="0" w:color="95B3D7"/>
              <w:left w:val="nil"/>
              <w:bottom w:val="single" w:sz="4" w:space="0" w:color="95B3D7"/>
              <w:right w:val="nil"/>
            </w:tcBorders>
            <w:shd w:val="clear" w:color="auto" w:fill="auto"/>
            <w:noWrap/>
            <w:vAlign w:val="bottom"/>
            <w:hideMark/>
          </w:tcPr>
          <w:p w14:paraId="0E71948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83,22</w:t>
            </w:r>
          </w:p>
        </w:tc>
      </w:tr>
      <w:tr w:rsidR="001738AF" w:rsidRPr="001738AF" w14:paraId="13FE2976" w14:textId="77777777" w:rsidTr="001738AF">
        <w:trPr>
          <w:trHeight w:val="240"/>
        </w:trPr>
        <w:tc>
          <w:tcPr>
            <w:tcW w:w="2179" w:type="pct"/>
            <w:tcBorders>
              <w:top w:val="nil"/>
              <w:left w:val="nil"/>
              <w:bottom w:val="nil"/>
              <w:right w:val="nil"/>
            </w:tcBorders>
            <w:shd w:val="clear" w:color="auto" w:fill="auto"/>
            <w:vAlign w:val="bottom"/>
            <w:hideMark/>
          </w:tcPr>
          <w:p w14:paraId="2153C0E1"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3212 Naknade za prijevoz za rad na terenu i odvojeni život</w:t>
            </w:r>
          </w:p>
        </w:tc>
        <w:tc>
          <w:tcPr>
            <w:tcW w:w="492" w:type="pct"/>
            <w:tcBorders>
              <w:top w:val="nil"/>
              <w:left w:val="single" w:sz="4" w:space="0" w:color="95B3D7"/>
              <w:bottom w:val="nil"/>
              <w:right w:val="single" w:sz="4" w:space="0" w:color="95B3D7"/>
            </w:tcBorders>
            <w:shd w:val="clear" w:color="auto" w:fill="auto"/>
            <w:noWrap/>
            <w:vAlign w:val="bottom"/>
            <w:hideMark/>
          </w:tcPr>
          <w:p w14:paraId="251B46C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171.874,82</w:t>
            </w:r>
          </w:p>
        </w:tc>
        <w:tc>
          <w:tcPr>
            <w:tcW w:w="492" w:type="pct"/>
            <w:tcBorders>
              <w:top w:val="nil"/>
              <w:left w:val="nil"/>
              <w:bottom w:val="nil"/>
              <w:right w:val="nil"/>
            </w:tcBorders>
            <w:shd w:val="clear" w:color="auto" w:fill="auto"/>
            <w:noWrap/>
            <w:vAlign w:val="bottom"/>
            <w:hideMark/>
          </w:tcPr>
          <w:p w14:paraId="22777F1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187.665</w:t>
            </w:r>
          </w:p>
        </w:tc>
        <w:tc>
          <w:tcPr>
            <w:tcW w:w="492" w:type="pct"/>
            <w:tcBorders>
              <w:top w:val="nil"/>
              <w:left w:val="single" w:sz="4" w:space="0" w:color="95B3D7"/>
              <w:bottom w:val="nil"/>
              <w:right w:val="single" w:sz="4" w:space="0" w:color="95B3D7"/>
            </w:tcBorders>
            <w:shd w:val="clear" w:color="auto" w:fill="auto"/>
            <w:noWrap/>
            <w:vAlign w:val="bottom"/>
            <w:hideMark/>
          </w:tcPr>
          <w:p w14:paraId="5D524DD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177.665</w:t>
            </w:r>
          </w:p>
        </w:tc>
        <w:tc>
          <w:tcPr>
            <w:tcW w:w="492" w:type="pct"/>
            <w:tcBorders>
              <w:top w:val="nil"/>
              <w:left w:val="nil"/>
              <w:bottom w:val="nil"/>
              <w:right w:val="nil"/>
            </w:tcBorders>
            <w:shd w:val="clear" w:color="auto" w:fill="auto"/>
            <w:noWrap/>
            <w:vAlign w:val="bottom"/>
            <w:hideMark/>
          </w:tcPr>
          <w:p w14:paraId="3980564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173.039,23</w:t>
            </w:r>
          </w:p>
        </w:tc>
        <w:tc>
          <w:tcPr>
            <w:tcW w:w="403" w:type="pct"/>
            <w:tcBorders>
              <w:top w:val="nil"/>
              <w:left w:val="single" w:sz="4" w:space="0" w:color="95B3D7"/>
              <w:bottom w:val="nil"/>
              <w:right w:val="single" w:sz="4" w:space="0" w:color="95B3D7"/>
            </w:tcBorders>
            <w:shd w:val="clear" w:color="auto" w:fill="auto"/>
            <w:noWrap/>
            <w:vAlign w:val="bottom"/>
            <w:hideMark/>
          </w:tcPr>
          <w:p w14:paraId="0B7B4F6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100,68</w:t>
            </w:r>
          </w:p>
        </w:tc>
        <w:tc>
          <w:tcPr>
            <w:tcW w:w="451" w:type="pct"/>
            <w:tcBorders>
              <w:top w:val="nil"/>
              <w:left w:val="nil"/>
              <w:bottom w:val="nil"/>
              <w:right w:val="nil"/>
            </w:tcBorders>
            <w:shd w:val="clear" w:color="auto" w:fill="auto"/>
            <w:noWrap/>
            <w:vAlign w:val="bottom"/>
            <w:hideMark/>
          </w:tcPr>
          <w:p w14:paraId="14A1887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97,40</w:t>
            </w:r>
          </w:p>
        </w:tc>
      </w:tr>
      <w:tr w:rsidR="001738AF" w:rsidRPr="001738AF" w14:paraId="431AF699"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1889459F"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3213 Stručno usavršavanje zaposlenika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540AF9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15.980,29</w:t>
            </w:r>
          </w:p>
        </w:tc>
        <w:tc>
          <w:tcPr>
            <w:tcW w:w="492" w:type="pct"/>
            <w:tcBorders>
              <w:top w:val="single" w:sz="4" w:space="0" w:color="95B3D7"/>
              <w:left w:val="nil"/>
              <w:bottom w:val="single" w:sz="4" w:space="0" w:color="95B3D7"/>
              <w:right w:val="nil"/>
            </w:tcBorders>
            <w:shd w:val="clear" w:color="auto" w:fill="auto"/>
            <w:noWrap/>
            <w:vAlign w:val="bottom"/>
            <w:hideMark/>
          </w:tcPr>
          <w:p w14:paraId="7D9E057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38.089</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2452BA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24.089</w:t>
            </w:r>
          </w:p>
        </w:tc>
        <w:tc>
          <w:tcPr>
            <w:tcW w:w="492" w:type="pct"/>
            <w:tcBorders>
              <w:top w:val="single" w:sz="4" w:space="0" w:color="95B3D7"/>
              <w:left w:val="nil"/>
              <w:bottom w:val="single" w:sz="4" w:space="0" w:color="95B3D7"/>
              <w:right w:val="nil"/>
            </w:tcBorders>
            <w:shd w:val="clear" w:color="auto" w:fill="auto"/>
            <w:noWrap/>
            <w:vAlign w:val="bottom"/>
            <w:hideMark/>
          </w:tcPr>
          <w:p w14:paraId="22A89C2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19.159,92</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97A7E7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119,90</w:t>
            </w:r>
          </w:p>
        </w:tc>
        <w:tc>
          <w:tcPr>
            <w:tcW w:w="451" w:type="pct"/>
            <w:tcBorders>
              <w:top w:val="single" w:sz="4" w:space="0" w:color="95B3D7"/>
              <w:left w:val="nil"/>
              <w:bottom w:val="single" w:sz="4" w:space="0" w:color="95B3D7"/>
              <w:right w:val="nil"/>
            </w:tcBorders>
            <w:shd w:val="clear" w:color="auto" w:fill="auto"/>
            <w:noWrap/>
            <w:vAlign w:val="bottom"/>
            <w:hideMark/>
          </w:tcPr>
          <w:p w14:paraId="2B53A62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79,54</w:t>
            </w:r>
          </w:p>
        </w:tc>
      </w:tr>
      <w:tr w:rsidR="001738AF" w:rsidRPr="001738AF" w14:paraId="08EF3EBF" w14:textId="77777777" w:rsidTr="001738AF">
        <w:trPr>
          <w:trHeight w:val="300"/>
        </w:trPr>
        <w:tc>
          <w:tcPr>
            <w:tcW w:w="2179" w:type="pct"/>
            <w:tcBorders>
              <w:top w:val="nil"/>
              <w:left w:val="nil"/>
              <w:bottom w:val="nil"/>
              <w:right w:val="nil"/>
            </w:tcBorders>
            <w:shd w:val="clear" w:color="auto" w:fill="auto"/>
            <w:vAlign w:val="bottom"/>
            <w:hideMark/>
          </w:tcPr>
          <w:p w14:paraId="7C7314C9"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322 Rashodi za materijal i energiju</w:t>
            </w:r>
          </w:p>
        </w:tc>
        <w:tc>
          <w:tcPr>
            <w:tcW w:w="492" w:type="pct"/>
            <w:tcBorders>
              <w:top w:val="nil"/>
              <w:left w:val="single" w:sz="4" w:space="0" w:color="95B3D7"/>
              <w:bottom w:val="nil"/>
              <w:right w:val="single" w:sz="4" w:space="0" w:color="95B3D7"/>
            </w:tcBorders>
            <w:shd w:val="clear" w:color="auto" w:fill="auto"/>
            <w:noWrap/>
            <w:vAlign w:val="bottom"/>
            <w:hideMark/>
          </w:tcPr>
          <w:p w14:paraId="65F14E9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221.822,18</w:t>
            </w:r>
          </w:p>
        </w:tc>
        <w:tc>
          <w:tcPr>
            <w:tcW w:w="492" w:type="pct"/>
            <w:tcBorders>
              <w:top w:val="nil"/>
              <w:left w:val="nil"/>
              <w:bottom w:val="nil"/>
              <w:right w:val="nil"/>
            </w:tcBorders>
            <w:shd w:val="clear" w:color="auto" w:fill="auto"/>
            <w:noWrap/>
            <w:vAlign w:val="bottom"/>
            <w:hideMark/>
          </w:tcPr>
          <w:p w14:paraId="7561D6F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287.640</w:t>
            </w:r>
          </w:p>
        </w:tc>
        <w:tc>
          <w:tcPr>
            <w:tcW w:w="492" w:type="pct"/>
            <w:tcBorders>
              <w:top w:val="nil"/>
              <w:left w:val="single" w:sz="4" w:space="0" w:color="95B3D7"/>
              <w:bottom w:val="nil"/>
              <w:right w:val="single" w:sz="4" w:space="0" w:color="95B3D7"/>
            </w:tcBorders>
            <w:shd w:val="clear" w:color="auto" w:fill="auto"/>
            <w:noWrap/>
            <w:vAlign w:val="bottom"/>
            <w:hideMark/>
          </w:tcPr>
          <w:p w14:paraId="457FC9B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234.640</w:t>
            </w:r>
          </w:p>
        </w:tc>
        <w:tc>
          <w:tcPr>
            <w:tcW w:w="492" w:type="pct"/>
            <w:tcBorders>
              <w:top w:val="nil"/>
              <w:left w:val="nil"/>
              <w:bottom w:val="nil"/>
              <w:right w:val="nil"/>
            </w:tcBorders>
            <w:shd w:val="clear" w:color="auto" w:fill="auto"/>
            <w:noWrap/>
            <w:vAlign w:val="bottom"/>
            <w:hideMark/>
          </w:tcPr>
          <w:p w14:paraId="52698C1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216.094,24</w:t>
            </w:r>
          </w:p>
        </w:tc>
        <w:tc>
          <w:tcPr>
            <w:tcW w:w="403" w:type="pct"/>
            <w:tcBorders>
              <w:top w:val="nil"/>
              <w:left w:val="single" w:sz="4" w:space="0" w:color="95B3D7"/>
              <w:bottom w:val="nil"/>
              <w:right w:val="single" w:sz="4" w:space="0" w:color="95B3D7"/>
            </w:tcBorders>
            <w:shd w:val="clear" w:color="auto" w:fill="auto"/>
            <w:noWrap/>
            <w:vAlign w:val="bottom"/>
            <w:hideMark/>
          </w:tcPr>
          <w:p w14:paraId="3630A48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97,42</w:t>
            </w:r>
          </w:p>
        </w:tc>
        <w:tc>
          <w:tcPr>
            <w:tcW w:w="451" w:type="pct"/>
            <w:tcBorders>
              <w:top w:val="nil"/>
              <w:left w:val="nil"/>
              <w:bottom w:val="nil"/>
              <w:right w:val="nil"/>
            </w:tcBorders>
            <w:shd w:val="clear" w:color="auto" w:fill="auto"/>
            <w:noWrap/>
            <w:vAlign w:val="bottom"/>
            <w:hideMark/>
          </w:tcPr>
          <w:p w14:paraId="0323A14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92,10</w:t>
            </w:r>
          </w:p>
        </w:tc>
      </w:tr>
      <w:tr w:rsidR="001738AF" w:rsidRPr="001738AF" w14:paraId="7B989FF7" w14:textId="77777777" w:rsidTr="001738AF">
        <w:trPr>
          <w:trHeight w:val="240"/>
        </w:trPr>
        <w:tc>
          <w:tcPr>
            <w:tcW w:w="2179" w:type="pct"/>
            <w:tcBorders>
              <w:top w:val="single" w:sz="4" w:space="0" w:color="95B3D7"/>
              <w:left w:val="nil"/>
              <w:bottom w:val="single" w:sz="4" w:space="0" w:color="95B3D7"/>
              <w:right w:val="nil"/>
            </w:tcBorders>
            <w:shd w:val="clear" w:color="auto" w:fill="auto"/>
            <w:vAlign w:val="bottom"/>
            <w:hideMark/>
          </w:tcPr>
          <w:p w14:paraId="5D46D4F8"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3221 Uredski materijal i ostali materijalni rashodi</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16505A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43.537,26</w:t>
            </w:r>
          </w:p>
        </w:tc>
        <w:tc>
          <w:tcPr>
            <w:tcW w:w="492" w:type="pct"/>
            <w:tcBorders>
              <w:top w:val="single" w:sz="4" w:space="0" w:color="95B3D7"/>
              <w:left w:val="nil"/>
              <w:bottom w:val="single" w:sz="4" w:space="0" w:color="95B3D7"/>
              <w:right w:val="nil"/>
            </w:tcBorders>
            <w:shd w:val="clear" w:color="auto" w:fill="auto"/>
            <w:noWrap/>
            <w:vAlign w:val="bottom"/>
            <w:hideMark/>
          </w:tcPr>
          <w:p w14:paraId="1B97955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73.707</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149F09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73.707</w:t>
            </w:r>
          </w:p>
        </w:tc>
        <w:tc>
          <w:tcPr>
            <w:tcW w:w="492" w:type="pct"/>
            <w:tcBorders>
              <w:top w:val="single" w:sz="4" w:space="0" w:color="95B3D7"/>
              <w:left w:val="nil"/>
              <w:bottom w:val="single" w:sz="4" w:space="0" w:color="95B3D7"/>
              <w:right w:val="nil"/>
            </w:tcBorders>
            <w:shd w:val="clear" w:color="auto" w:fill="auto"/>
            <w:noWrap/>
            <w:vAlign w:val="bottom"/>
            <w:hideMark/>
          </w:tcPr>
          <w:p w14:paraId="2CA0CEF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70.159,52</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03037E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161,15</w:t>
            </w:r>
          </w:p>
        </w:tc>
        <w:tc>
          <w:tcPr>
            <w:tcW w:w="451" w:type="pct"/>
            <w:tcBorders>
              <w:top w:val="single" w:sz="4" w:space="0" w:color="95B3D7"/>
              <w:left w:val="nil"/>
              <w:bottom w:val="single" w:sz="4" w:space="0" w:color="95B3D7"/>
              <w:right w:val="nil"/>
            </w:tcBorders>
            <w:shd w:val="clear" w:color="auto" w:fill="auto"/>
            <w:noWrap/>
            <w:vAlign w:val="bottom"/>
            <w:hideMark/>
          </w:tcPr>
          <w:p w14:paraId="44DD5F2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95,19</w:t>
            </w:r>
          </w:p>
        </w:tc>
      </w:tr>
      <w:tr w:rsidR="001738AF" w:rsidRPr="001738AF" w14:paraId="00BB058D" w14:textId="77777777" w:rsidTr="001738AF">
        <w:trPr>
          <w:trHeight w:val="300"/>
        </w:trPr>
        <w:tc>
          <w:tcPr>
            <w:tcW w:w="2179" w:type="pct"/>
            <w:tcBorders>
              <w:top w:val="nil"/>
              <w:left w:val="nil"/>
              <w:bottom w:val="nil"/>
              <w:right w:val="nil"/>
            </w:tcBorders>
            <w:shd w:val="clear" w:color="auto" w:fill="auto"/>
            <w:vAlign w:val="bottom"/>
            <w:hideMark/>
          </w:tcPr>
          <w:p w14:paraId="293DB6D3"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3223 Energija</w:t>
            </w:r>
          </w:p>
        </w:tc>
        <w:tc>
          <w:tcPr>
            <w:tcW w:w="492" w:type="pct"/>
            <w:tcBorders>
              <w:top w:val="nil"/>
              <w:left w:val="single" w:sz="4" w:space="0" w:color="95B3D7"/>
              <w:bottom w:val="nil"/>
              <w:right w:val="single" w:sz="4" w:space="0" w:color="95B3D7"/>
            </w:tcBorders>
            <w:shd w:val="clear" w:color="auto" w:fill="auto"/>
            <w:noWrap/>
            <w:vAlign w:val="bottom"/>
            <w:hideMark/>
          </w:tcPr>
          <w:p w14:paraId="3F9B8C4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161.250,29</w:t>
            </w:r>
          </w:p>
        </w:tc>
        <w:tc>
          <w:tcPr>
            <w:tcW w:w="492" w:type="pct"/>
            <w:tcBorders>
              <w:top w:val="nil"/>
              <w:left w:val="nil"/>
              <w:bottom w:val="nil"/>
              <w:right w:val="nil"/>
            </w:tcBorders>
            <w:shd w:val="clear" w:color="auto" w:fill="auto"/>
            <w:noWrap/>
            <w:vAlign w:val="bottom"/>
            <w:hideMark/>
          </w:tcPr>
          <w:p w14:paraId="4D62430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193.020</w:t>
            </w:r>
          </w:p>
        </w:tc>
        <w:tc>
          <w:tcPr>
            <w:tcW w:w="492" w:type="pct"/>
            <w:tcBorders>
              <w:top w:val="nil"/>
              <w:left w:val="single" w:sz="4" w:space="0" w:color="95B3D7"/>
              <w:bottom w:val="nil"/>
              <w:right w:val="single" w:sz="4" w:space="0" w:color="95B3D7"/>
            </w:tcBorders>
            <w:shd w:val="clear" w:color="auto" w:fill="auto"/>
            <w:noWrap/>
            <w:vAlign w:val="bottom"/>
            <w:hideMark/>
          </w:tcPr>
          <w:p w14:paraId="4DB27AA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140.020</w:t>
            </w:r>
          </w:p>
        </w:tc>
        <w:tc>
          <w:tcPr>
            <w:tcW w:w="492" w:type="pct"/>
            <w:tcBorders>
              <w:top w:val="nil"/>
              <w:left w:val="nil"/>
              <w:bottom w:val="nil"/>
              <w:right w:val="nil"/>
            </w:tcBorders>
            <w:shd w:val="clear" w:color="auto" w:fill="auto"/>
            <w:noWrap/>
            <w:vAlign w:val="bottom"/>
            <w:hideMark/>
          </w:tcPr>
          <w:p w14:paraId="5319007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132.477,20</w:t>
            </w:r>
          </w:p>
        </w:tc>
        <w:tc>
          <w:tcPr>
            <w:tcW w:w="403" w:type="pct"/>
            <w:tcBorders>
              <w:top w:val="nil"/>
              <w:left w:val="single" w:sz="4" w:space="0" w:color="95B3D7"/>
              <w:bottom w:val="nil"/>
              <w:right w:val="single" w:sz="4" w:space="0" w:color="95B3D7"/>
            </w:tcBorders>
            <w:shd w:val="clear" w:color="auto" w:fill="auto"/>
            <w:noWrap/>
            <w:vAlign w:val="bottom"/>
            <w:hideMark/>
          </w:tcPr>
          <w:p w14:paraId="0134736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82,16</w:t>
            </w:r>
          </w:p>
        </w:tc>
        <w:tc>
          <w:tcPr>
            <w:tcW w:w="451" w:type="pct"/>
            <w:tcBorders>
              <w:top w:val="nil"/>
              <w:left w:val="nil"/>
              <w:bottom w:val="nil"/>
              <w:right w:val="nil"/>
            </w:tcBorders>
            <w:shd w:val="clear" w:color="auto" w:fill="auto"/>
            <w:noWrap/>
            <w:vAlign w:val="bottom"/>
            <w:hideMark/>
          </w:tcPr>
          <w:p w14:paraId="543B446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94,61</w:t>
            </w:r>
          </w:p>
        </w:tc>
      </w:tr>
      <w:tr w:rsidR="001738AF" w:rsidRPr="001738AF" w14:paraId="3536FE5F"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21D095AA"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3224 Materijal i dijelovi za tekuće i investicijsko održavanje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A0A716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426,68</w:t>
            </w:r>
          </w:p>
        </w:tc>
        <w:tc>
          <w:tcPr>
            <w:tcW w:w="492" w:type="pct"/>
            <w:tcBorders>
              <w:top w:val="single" w:sz="4" w:space="0" w:color="95B3D7"/>
              <w:left w:val="nil"/>
              <w:bottom w:val="single" w:sz="4" w:space="0" w:color="95B3D7"/>
              <w:right w:val="nil"/>
            </w:tcBorders>
            <w:shd w:val="clear" w:color="auto" w:fill="auto"/>
            <w:noWrap/>
            <w:vAlign w:val="bottom"/>
            <w:hideMark/>
          </w:tcPr>
          <w:p w14:paraId="5DAC545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2.654</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72B80E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2.654</w:t>
            </w:r>
          </w:p>
        </w:tc>
        <w:tc>
          <w:tcPr>
            <w:tcW w:w="492" w:type="pct"/>
            <w:tcBorders>
              <w:top w:val="single" w:sz="4" w:space="0" w:color="95B3D7"/>
              <w:left w:val="nil"/>
              <w:bottom w:val="single" w:sz="4" w:space="0" w:color="95B3D7"/>
              <w:right w:val="nil"/>
            </w:tcBorders>
            <w:shd w:val="clear" w:color="auto" w:fill="auto"/>
            <w:noWrap/>
            <w:vAlign w:val="bottom"/>
            <w:hideMark/>
          </w:tcPr>
          <w:p w14:paraId="1AFC800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319,75</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3C82DC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74,94</w:t>
            </w:r>
          </w:p>
        </w:tc>
        <w:tc>
          <w:tcPr>
            <w:tcW w:w="451" w:type="pct"/>
            <w:tcBorders>
              <w:top w:val="single" w:sz="4" w:space="0" w:color="95B3D7"/>
              <w:left w:val="nil"/>
              <w:bottom w:val="single" w:sz="4" w:space="0" w:color="95B3D7"/>
              <w:right w:val="nil"/>
            </w:tcBorders>
            <w:shd w:val="clear" w:color="auto" w:fill="auto"/>
            <w:noWrap/>
            <w:vAlign w:val="bottom"/>
            <w:hideMark/>
          </w:tcPr>
          <w:p w14:paraId="119250E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12,05</w:t>
            </w:r>
          </w:p>
        </w:tc>
      </w:tr>
      <w:tr w:rsidR="001738AF" w:rsidRPr="001738AF" w14:paraId="3EC4CF65" w14:textId="77777777" w:rsidTr="001738AF">
        <w:trPr>
          <w:trHeight w:val="300"/>
        </w:trPr>
        <w:tc>
          <w:tcPr>
            <w:tcW w:w="2179" w:type="pct"/>
            <w:tcBorders>
              <w:top w:val="nil"/>
              <w:left w:val="nil"/>
              <w:bottom w:val="nil"/>
              <w:right w:val="nil"/>
            </w:tcBorders>
            <w:shd w:val="clear" w:color="auto" w:fill="auto"/>
            <w:vAlign w:val="bottom"/>
            <w:hideMark/>
          </w:tcPr>
          <w:p w14:paraId="19C9426E"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 xml:space="preserve">3225 Sitni inventar i </w:t>
            </w:r>
            <w:proofErr w:type="spellStart"/>
            <w:r w:rsidRPr="001738AF">
              <w:rPr>
                <w:rFonts w:ascii="Calibri" w:hAnsi="Calibri" w:cs="Calibri"/>
                <w:color w:val="000000"/>
                <w:sz w:val="18"/>
                <w:szCs w:val="18"/>
              </w:rPr>
              <w:t>autogume</w:t>
            </w:r>
            <w:proofErr w:type="spellEnd"/>
          </w:p>
        </w:tc>
        <w:tc>
          <w:tcPr>
            <w:tcW w:w="492" w:type="pct"/>
            <w:tcBorders>
              <w:top w:val="nil"/>
              <w:left w:val="single" w:sz="4" w:space="0" w:color="95B3D7"/>
              <w:bottom w:val="nil"/>
              <w:right w:val="single" w:sz="4" w:space="0" w:color="95B3D7"/>
            </w:tcBorders>
            <w:shd w:val="clear" w:color="auto" w:fill="auto"/>
            <w:noWrap/>
            <w:vAlign w:val="bottom"/>
            <w:hideMark/>
          </w:tcPr>
          <w:p w14:paraId="5906271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15.347,09</w:t>
            </w:r>
          </w:p>
        </w:tc>
        <w:tc>
          <w:tcPr>
            <w:tcW w:w="492" w:type="pct"/>
            <w:tcBorders>
              <w:top w:val="nil"/>
              <w:left w:val="nil"/>
              <w:bottom w:val="nil"/>
              <w:right w:val="nil"/>
            </w:tcBorders>
            <w:shd w:val="clear" w:color="auto" w:fill="auto"/>
            <w:noWrap/>
            <w:vAlign w:val="bottom"/>
            <w:hideMark/>
          </w:tcPr>
          <w:p w14:paraId="5C17635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14.608</w:t>
            </w:r>
          </w:p>
        </w:tc>
        <w:tc>
          <w:tcPr>
            <w:tcW w:w="492" w:type="pct"/>
            <w:tcBorders>
              <w:top w:val="nil"/>
              <w:left w:val="single" w:sz="4" w:space="0" w:color="95B3D7"/>
              <w:bottom w:val="nil"/>
              <w:right w:val="single" w:sz="4" w:space="0" w:color="95B3D7"/>
            </w:tcBorders>
            <w:shd w:val="clear" w:color="auto" w:fill="auto"/>
            <w:noWrap/>
            <w:vAlign w:val="bottom"/>
            <w:hideMark/>
          </w:tcPr>
          <w:p w14:paraId="084BF33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14.608</w:t>
            </w:r>
          </w:p>
        </w:tc>
        <w:tc>
          <w:tcPr>
            <w:tcW w:w="492" w:type="pct"/>
            <w:tcBorders>
              <w:top w:val="nil"/>
              <w:left w:val="nil"/>
              <w:bottom w:val="nil"/>
              <w:right w:val="nil"/>
            </w:tcBorders>
            <w:shd w:val="clear" w:color="auto" w:fill="auto"/>
            <w:noWrap/>
            <w:vAlign w:val="bottom"/>
            <w:hideMark/>
          </w:tcPr>
          <w:p w14:paraId="64BDD48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10.438,77</w:t>
            </w:r>
          </w:p>
        </w:tc>
        <w:tc>
          <w:tcPr>
            <w:tcW w:w="403" w:type="pct"/>
            <w:tcBorders>
              <w:top w:val="nil"/>
              <w:left w:val="single" w:sz="4" w:space="0" w:color="95B3D7"/>
              <w:bottom w:val="nil"/>
              <w:right w:val="single" w:sz="4" w:space="0" w:color="95B3D7"/>
            </w:tcBorders>
            <w:shd w:val="clear" w:color="auto" w:fill="auto"/>
            <w:noWrap/>
            <w:vAlign w:val="bottom"/>
            <w:hideMark/>
          </w:tcPr>
          <w:p w14:paraId="618E1EB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68,02</w:t>
            </w:r>
          </w:p>
        </w:tc>
        <w:tc>
          <w:tcPr>
            <w:tcW w:w="451" w:type="pct"/>
            <w:tcBorders>
              <w:top w:val="nil"/>
              <w:left w:val="nil"/>
              <w:bottom w:val="nil"/>
              <w:right w:val="nil"/>
            </w:tcBorders>
            <w:shd w:val="clear" w:color="auto" w:fill="auto"/>
            <w:noWrap/>
            <w:vAlign w:val="bottom"/>
            <w:hideMark/>
          </w:tcPr>
          <w:p w14:paraId="243C779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71,46</w:t>
            </w:r>
          </w:p>
        </w:tc>
      </w:tr>
      <w:tr w:rsidR="001738AF" w:rsidRPr="001738AF" w14:paraId="3E691E06" w14:textId="77777777" w:rsidTr="001738AF">
        <w:trPr>
          <w:trHeight w:val="240"/>
        </w:trPr>
        <w:tc>
          <w:tcPr>
            <w:tcW w:w="2179" w:type="pct"/>
            <w:tcBorders>
              <w:top w:val="single" w:sz="4" w:space="0" w:color="95B3D7"/>
              <w:left w:val="nil"/>
              <w:bottom w:val="single" w:sz="4" w:space="0" w:color="95B3D7"/>
              <w:right w:val="nil"/>
            </w:tcBorders>
            <w:shd w:val="clear" w:color="auto" w:fill="auto"/>
            <w:vAlign w:val="bottom"/>
            <w:hideMark/>
          </w:tcPr>
          <w:p w14:paraId="1F5532FB"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3227 Službena radna i zaštitna odjeća i obuća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291802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1.260,86</w:t>
            </w:r>
          </w:p>
        </w:tc>
        <w:tc>
          <w:tcPr>
            <w:tcW w:w="492" w:type="pct"/>
            <w:tcBorders>
              <w:top w:val="single" w:sz="4" w:space="0" w:color="95B3D7"/>
              <w:left w:val="nil"/>
              <w:bottom w:val="single" w:sz="4" w:space="0" w:color="95B3D7"/>
              <w:right w:val="nil"/>
            </w:tcBorders>
            <w:shd w:val="clear" w:color="auto" w:fill="auto"/>
            <w:noWrap/>
            <w:vAlign w:val="bottom"/>
            <w:hideMark/>
          </w:tcPr>
          <w:p w14:paraId="42ED4DA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3.651</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4C7D29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3.651</w:t>
            </w:r>
          </w:p>
        </w:tc>
        <w:tc>
          <w:tcPr>
            <w:tcW w:w="492" w:type="pct"/>
            <w:tcBorders>
              <w:top w:val="single" w:sz="4" w:space="0" w:color="95B3D7"/>
              <w:left w:val="nil"/>
              <w:bottom w:val="single" w:sz="4" w:space="0" w:color="95B3D7"/>
              <w:right w:val="nil"/>
            </w:tcBorders>
            <w:shd w:val="clear" w:color="auto" w:fill="auto"/>
            <w:noWrap/>
            <w:vAlign w:val="bottom"/>
            <w:hideMark/>
          </w:tcPr>
          <w:p w14:paraId="20E687B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2.699,00</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6F0DB9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214,06</w:t>
            </w:r>
          </w:p>
        </w:tc>
        <w:tc>
          <w:tcPr>
            <w:tcW w:w="451" w:type="pct"/>
            <w:tcBorders>
              <w:top w:val="single" w:sz="4" w:space="0" w:color="95B3D7"/>
              <w:left w:val="nil"/>
              <w:bottom w:val="single" w:sz="4" w:space="0" w:color="95B3D7"/>
              <w:right w:val="nil"/>
            </w:tcBorders>
            <w:shd w:val="clear" w:color="auto" w:fill="auto"/>
            <w:noWrap/>
            <w:vAlign w:val="bottom"/>
            <w:hideMark/>
          </w:tcPr>
          <w:p w14:paraId="2125B3A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73,92</w:t>
            </w:r>
          </w:p>
        </w:tc>
      </w:tr>
      <w:tr w:rsidR="001738AF" w:rsidRPr="001738AF" w14:paraId="3F90F1F9" w14:textId="77777777" w:rsidTr="001738AF">
        <w:trPr>
          <w:trHeight w:val="300"/>
        </w:trPr>
        <w:tc>
          <w:tcPr>
            <w:tcW w:w="2179" w:type="pct"/>
            <w:tcBorders>
              <w:top w:val="nil"/>
              <w:left w:val="nil"/>
              <w:bottom w:val="nil"/>
              <w:right w:val="nil"/>
            </w:tcBorders>
            <w:shd w:val="clear" w:color="auto" w:fill="auto"/>
            <w:vAlign w:val="bottom"/>
            <w:hideMark/>
          </w:tcPr>
          <w:p w14:paraId="61B1B3A7"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323 Rashodi za usluge</w:t>
            </w:r>
          </w:p>
        </w:tc>
        <w:tc>
          <w:tcPr>
            <w:tcW w:w="492" w:type="pct"/>
            <w:tcBorders>
              <w:top w:val="nil"/>
              <w:left w:val="single" w:sz="4" w:space="0" w:color="95B3D7"/>
              <w:bottom w:val="nil"/>
              <w:right w:val="single" w:sz="4" w:space="0" w:color="95B3D7"/>
            </w:tcBorders>
            <w:shd w:val="clear" w:color="auto" w:fill="auto"/>
            <w:noWrap/>
            <w:vAlign w:val="bottom"/>
            <w:hideMark/>
          </w:tcPr>
          <w:p w14:paraId="794607F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1.131.708,26</w:t>
            </w:r>
          </w:p>
        </w:tc>
        <w:tc>
          <w:tcPr>
            <w:tcW w:w="492" w:type="pct"/>
            <w:tcBorders>
              <w:top w:val="nil"/>
              <w:left w:val="nil"/>
              <w:bottom w:val="nil"/>
              <w:right w:val="nil"/>
            </w:tcBorders>
            <w:shd w:val="clear" w:color="auto" w:fill="auto"/>
            <w:noWrap/>
            <w:vAlign w:val="bottom"/>
            <w:hideMark/>
          </w:tcPr>
          <w:p w14:paraId="0EABDFE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1.177.308</w:t>
            </w:r>
          </w:p>
        </w:tc>
        <w:tc>
          <w:tcPr>
            <w:tcW w:w="492" w:type="pct"/>
            <w:tcBorders>
              <w:top w:val="nil"/>
              <w:left w:val="single" w:sz="4" w:space="0" w:color="95B3D7"/>
              <w:bottom w:val="nil"/>
              <w:right w:val="single" w:sz="4" w:space="0" w:color="95B3D7"/>
            </w:tcBorders>
            <w:shd w:val="clear" w:color="auto" w:fill="auto"/>
            <w:noWrap/>
            <w:vAlign w:val="bottom"/>
            <w:hideMark/>
          </w:tcPr>
          <w:p w14:paraId="72B966A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1.069.308</w:t>
            </w:r>
          </w:p>
        </w:tc>
        <w:tc>
          <w:tcPr>
            <w:tcW w:w="492" w:type="pct"/>
            <w:tcBorders>
              <w:top w:val="nil"/>
              <w:left w:val="nil"/>
              <w:bottom w:val="nil"/>
              <w:right w:val="nil"/>
            </w:tcBorders>
            <w:shd w:val="clear" w:color="auto" w:fill="auto"/>
            <w:noWrap/>
            <w:vAlign w:val="bottom"/>
            <w:hideMark/>
          </w:tcPr>
          <w:p w14:paraId="4DA4D8C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988.810,78</w:t>
            </w:r>
          </w:p>
        </w:tc>
        <w:tc>
          <w:tcPr>
            <w:tcW w:w="403" w:type="pct"/>
            <w:tcBorders>
              <w:top w:val="nil"/>
              <w:left w:val="single" w:sz="4" w:space="0" w:color="95B3D7"/>
              <w:bottom w:val="nil"/>
              <w:right w:val="single" w:sz="4" w:space="0" w:color="95B3D7"/>
            </w:tcBorders>
            <w:shd w:val="clear" w:color="auto" w:fill="auto"/>
            <w:noWrap/>
            <w:vAlign w:val="bottom"/>
            <w:hideMark/>
          </w:tcPr>
          <w:p w14:paraId="481E4EA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87,37</w:t>
            </w:r>
          </w:p>
        </w:tc>
        <w:tc>
          <w:tcPr>
            <w:tcW w:w="451" w:type="pct"/>
            <w:tcBorders>
              <w:top w:val="nil"/>
              <w:left w:val="nil"/>
              <w:bottom w:val="nil"/>
              <w:right w:val="nil"/>
            </w:tcBorders>
            <w:shd w:val="clear" w:color="auto" w:fill="auto"/>
            <w:noWrap/>
            <w:vAlign w:val="bottom"/>
            <w:hideMark/>
          </w:tcPr>
          <w:p w14:paraId="4DBBFAC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92,47</w:t>
            </w:r>
          </w:p>
        </w:tc>
      </w:tr>
      <w:tr w:rsidR="001738AF" w:rsidRPr="001738AF" w14:paraId="6E78DB73" w14:textId="77777777" w:rsidTr="001738AF">
        <w:trPr>
          <w:trHeight w:val="240"/>
        </w:trPr>
        <w:tc>
          <w:tcPr>
            <w:tcW w:w="2179" w:type="pct"/>
            <w:tcBorders>
              <w:top w:val="single" w:sz="4" w:space="0" w:color="95B3D7"/>
              <w:left w:val="nil"/>
              <w:bottom w:val="single" w:sz="4" w:space="0" w:color="95B3D7"/>
              <w:right w:val="nil"/>
            </w:tcBorders>
            <w:shd w:val="clear" w:color="auto" w:fill="auto"/>
            <w:vAlign w:val="bottom"/>
            <w:hideMark/>
          </w:tcPr>
          <w:p w14:paraId="369FA816"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3231 Usluge telefona, pošte i prijevoza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6002A8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66.502,81</w:t>
            </w:r>
          </w:p>
        </w:tc>
        <w:tc>
          <w:tcPr>
            <w:tcW w:w="492" w:type="pct"/>
            <w:tcBorders>
              <w:top w:val="single" w:sz="4" w:space="0" w:color="95B3D7"/>
              <w:left w:val="nil"/>
              <w:bottom w:val="single" w:sz="4" w:space="0" w:color="95B3D7"/>
              <w:right w:val="nil"/>
            </w:tcBorders>
            <w:shd w:val="clear" w:color="auto" w:fill="auto"/>
            <w:noWrap/>
            <w:vAlign w:val="bottom"/>
            <w:hideMark/>
          </w:tcPr>
          <w:p w14:paraId="6F6C9BB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122.906</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49F96E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113.906</w:t>
            </w:r>
          </w:p>
        </w:tc>
        <w:tc>
          <w:tcPr>
            <w:tcW w:w="492" w:type="pct"/>
            <w:tcBorders>
              <w:top w:val="single" w:sz="4" w:space="0" w:color="95B3D7"/>
              <w:left w:val="nil"/>
              <w:bottom w:val="single" w:sz="4" w:space="0" w:color="95B3D7"/>
              <w:right w:val="nil"/>
            </w:tcBorders>
            <w:shd w:val="clear" w:color="auto" w:fill="auto"/>
            <w:noWrap/>
            <w:vAlign w:val="bottom"/>
            <w:hideMark/>
          </w:tcPr>
          <w:p w14:paraId="696DBFE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100.232,53</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268483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150,72</w:t>
            </w:r>
          </w:p>
        </w:tc>
        <w:tc>
          <w:tcPr>
            <w:tcW w:w="451" w:type="pct"/>
            <w:tcBorders>
              <w:top w:val="single" w:sz="4" w:space="0" w:color="95B3D7"/>
              <w:left w:val="nil"/>
              <w:bottom w:val="single" w:sz="4" w:space="0" w:color="95B3D7"/>
              <w:right w:val="nil"/>
            </w:tcBorders>
            <w:shd w:val="clear" w:color="auto" w:fill="auto"/>
            <w:noWrap/>
            <w:vAlign w:val="bottom"/>
            <w:hideMark/>
          </w:tcPr>
          <w:p w14:paraId="65A7B93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88,00</w:t>
            </w:r>
          </w:p>
        </w:tc>
      </w:tr>
      <w:tr w:rsidR="001738AF" w:rsidRPr="001738AF" w14:paraId="657E30BC" w14:textId="77777777" w:rsidTr="001738AF">
        <w:trPr>
          <w:trHeight w:val="240"/>
        </w:trPr>
        <w:tc>
          <w:tcPr>
            <w:tcW w:w="2179" w:type="pct"/>
            <w:tcBorders>
              <w:top w:val="nil"/>
              <w:left w:val="nil"/>
              <w:bottom w:val="nil"/>
              <w:right w:val="nil"/>
            </w:tcBorders>
            <w:shd w:val="clear" w:color="auto" w:fill="auto"/>
            <w:vAlign w:val="bottom"/>
            <w:hideMark/>
          </w:tcPr>
          <w:p w14:paraId="2D87C9A2"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3232 Usluge tekućeg i investicijskog održavanja</w:t>
            </w:r>
          </w:p>
        </w:tc>
        <w:tc>
          <w:tcPr>
            <w:tcW w:w="492" w:type="pct"/>
            <w:tcBorders>
              <w:top w:val="nil"/>
              <w:left w:val="single" w:sz="4" w:space="0" w:color="95B3D7"/>
              <w:bottom w:val="nil"/>
              <w:right w:val="single" w:sz="4" w:space="0" w:color="95B3D7"/>
            </w:tcBorders>
            <w:shd w:val="clear" w:color="auto" w:fill="auto"/>
            <w:noWrap/>
            <w:vAlign w:val="bottom"/>
            <w:hideMark/>
          </w:tcPr>
          <w:p w14:paraId="4D4F134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193.230,48</w:t>
            </w:r>
          </w:p>
        </w:tc>
        <w:tc>
          <w:tcPr>
            <w:tcW w:w="492" w:type="pct"/>
            <w:tcBorders>
              <w:top w:val="nil"/>
              <w:left w:val="nil"/>
              <w:bottom w:val="nil"/>
              <w:right w:val="nil"/>
            </w:tcBorders>
            <w:shd w:val="clear" w:color="auto" w:fill="auto"/>
            <w:noWrap/>
            <w:vAlign w:val="bottom"/>
            <w:hideMark/>
          </w:tcPr>
          <w:p w14:paraId="6DA2A8C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187.524</w:t>
            </w:r>
          </w:p>
        </w:tc>
        <w:tc>
          <w:tcPr>
            <w:tcW w:w="492" w:type="pct"/>
            <w:tcBorders>
              <w:top w:val="nil"/>
              <w:left w:val="single" w:sz="4" w:space="0" w:color="95B3D7"/>
              <w:bottom w:val="nil"/>
              <w:right w:val="single" w:sz="4" w:space="0" w:color="95B3D7"/>
            </w:tcBorders>
            <w:shd w:val="clear" w:color="auto" w:fill="auto"/>
            <w:noWrap/>
            <w:vAlign w:val="bottom"/>
            <w:hideMark/>
          </w:tcPr>
          <w:p w14:paraId="143210B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117.524</w:t>
            </w:r>
          </w:p>
        </w:tc>
        <w:tc>
          <w:tcPr>
            <w:tcW w:w="492" w:type="pct"/>
            <w:tcBorders>
              <w:top w:val="nil"/>
              <w:left w:val="nil"/>
              <w:bottom w:val="nil"/>
              <w:right w:val="nil"/>
            </w:tcBorders>
            <w:shd w:val="clear" w:color="auto" w:fill="auto"/>
            <w:noWrap/>
            <w:vAlign w:val="bottom"/>
            <w:hideMark/>
          </w:tcPr>
          <w:p w14:paraId="5FB92E4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106.598,72</w:t>
            </w:r>
          </w:p>
        </w:tc>
        <w:tc>
          <w:tcPr>
            <w:tcW w:w="403" w:type="pct"/>
            <w:tcBorders>
              <w:top w:val="nil"/>
              <w:left w:val="single" w:sz="4" w:space="0" w:color="95B3D7"/>
              <w:bottom w:val="nil"/>
              <w:right w:val="single" w:sz="4" w:space="0" w:color="95B3D7"/>
            </w:tcBorders>
            <w:shd w:val="clear" w:color="auto" w:fill="auto"/>
            <w:noWrap/>
            <w:vAlign w:val="bottom"/>
            <w:hideMark/>
          </w:tcPr>
          <w:p w14:paraId="5E30364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55,17</w:t>
            </w:r>
          </w:p>
        </w:tc>
        <w:tc>
          <w:tcPr>
            <w:tcW w:w="451" w:type="pct"/>
            <w:tcBorders>
              <w:top w:val="nil"/>
              <w:left w:val="nil"/>
              <w:bottom w:val="nil"/>
              <w:right w:val="nil"/>
            </w:tcBorders>
            <w:shd w:val="clear" w:color="auto" w:fill="auto"/>
            <w:noWrap/>
            <w:vAlign w:val="bottom"/>
            <w:hideMark/>
          </w:tcPr>
          <w:p w14:paraId="7A9FF4C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90,70</w:t>
            </w:r>
          </w:p>
        </w:tc>
      </w:tr>
      <w:tr w:rsidR="001738AF" w:rsidRPr="001738AF" w14:paraId="6FDDBC97"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35209036"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3233 Usluge promidžbe i informiranja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D49416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21.188,56</w:t>
            </w:r>
          </w:p>
        </w:tc>
        <w:tc>
          <w:tcPr>
            <w:tcW w:w="492" w:type="pct"/>
            <w:tcBorders>
              <w:top w:val="single" w:sz="4" w:space="0" w:color="95B3D7"/>
              <w:left w:val="nil"/>
              <w:bottom w:val="single" w:sz="4" w:space="0" w:color="95B3D7"/>
              <w:right w:val="nil"/>
            </w:tcBorders>
            <w:shd w:val="clear" w:color="auto" w:fill="auto"/>
            <w:noWrap/>
            <w:vAlign w:val="bottom"/>
            <w:hideMark/>
          </w:tcPr>
          <w:p w14:paraId="3E5E174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7.964</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AB0E8D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7.964</w:t>
            </w:r>
          </w:p>
        </w:tc>
        <w:tc>
          <w:tcPr>
            <w:tcW w:w="492" w:type="pct"/>
            <w:tcBorders>
              <w:top w:val="single" w:sz="4" w:space="0" w:color="95B3D7"/>
              <w:left w:val="nil"/>
              <w:bottom w:val="single" w:sz="4" w:space="0" w:color="95B3D7"/>
              <w:right w:val="nil"/>
            </w:tcBorders>
            <w:shd w:val="clear" w:color="auto" w:fill="auto"/>
            <w:noWrap/>
            <w:vAlign w:val="bottom"/>
            <w:hideMark/>
          </w:tcPr>
          <w:p w14:paraId="2FE19AA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7.294,57</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CF7FAD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34,43</w:t>
            </w:r>
          </w:p>
        </w:tc>
        <w:tc>
          <w:tcPr>
            <w:tcW w:w="451" w:type="pct"/>
            <w:tcBorders>
              <w:top w:val="single" w:sz="4" w:space="0" w:color="95B3D7"/>
              <w:left w:val="nil"/>
              <w:bottom w:val="single" w:sz="4" w:space="0" w:color="95B3D7"/>
              <w:right w:val="nil"/>
            </w:tcBorders>
            <w:shd w:val="clear" w:color="auto" w:fill="auto"/>
            <w:noWrap/>
            <w:vAlign w:val="bottom"/>
            <w:hideMark/>
          </w:tcPr>
          <w:p w14:paraId="505F376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91,59</w:t>
            </w:r>
          </w:p>
        </w:tc>
      </w:tr>
      <w:tr w:rsidR="001738AF" w:rsidRPr="001738AF" w14:paraId="0CD25173" w14:textId="77777777" w:rsidTr="001738AF">
        <w:trPr>
          <w:trHeight w:val="240"/>
        </w:trPr>
        <w:tc>
          <w:tcPr>
            <w:tcW w:w="2179" w:type="pct"/>
            <w:tcBorders>
              <w:top w:val="nil"/>
              <w:left w:val="nil"/>
              <w:bottom w:val="nil"/>
              <w:right w:val="nil"/>
            </w:tcBorders>
            <w:shd w:val="clear" w:color="auto" w:fill="auto"/>
            <w:vAlign w:val="bottom"/>
            <w:hideMark/>
          </w:tcPr>
          <w:p w14:paraId="2898D9F4"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3234 Komunalne usluge</w:t>
            </w:r>
          </w:p>
        </w:tc>
        <w:tc>
          <w:tcPr>
            <w:tcW w:w="492" w:type="pct"/>
            <w:tcBorders>
              <w:top w:val="nil"/>
              <w:left w:val="single" w:sz="4" w:space="0" w:color="95B3D7"/>
              <w:bottom w:val="nil"/>
              <w:right w:val="single" w:sz="4" w:space="0" w:color="95B3D7"/>
            </w:tcBorders>
            <w:shd w:val="clear" w:color="auto" w:fill="auto"/>
            <w:noWrap/>
            <w:vAlign w:val="bottom"/>
            <w:hideMark/>
          </w:tcPr>
          <w:p w14:paraId="0AEE2B1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42.911,23</w:t>
            </w:r>
          </w:p>
        </w:tc>
        <w:tc>
          <w:tcPr>
            <w:tcW w:w="492" w:type="pct"/>
            <w:tcBorders>
              <w:top w:val="nil"/>
              <w:left w:val="nil"/>
              <w:bottom w:val="nil"/>
              <w:right w:val="nil"/>
            </w:tcBorders>
            <w:shd w:val="clear" w:color="auto" w:fill="auto"/>
            <w:noWrap/>
            <w:vAlign w:val="bottom"/>
            <w:hideMark/>
          </w:tcPr>
          <w:p w14:paraId="6DF8468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53.089</w:t>
            </w:r>
          </w:p>
        </w:tc>
        <w:tc>
          <w:tcPr>
            <w:tcW w:w="492" w:type="pct"/>
            <w:tcBorders>
              <w:top w:val="nil"/>
              <w:left w:val="single" w:sz="4" w:space="0" w:color="95B3D7"/>
              <w:bottom w:val="nil"/>
              <w:right w:val="single" w:sz="4" w:space="0" w:color="95B3D7"/>
            </w:tcBorders>
            <w:shd w:val="clear" w:color="auto" w:fill="auto"/>
            <w:noWrap/>
            <w:vAlign w:val="bottom"/>
            <w:hideMark/>
          </w:tcPr>
          <w:p w14:paraId="68B6B12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53.089</w:t>
            </w:r>
          </w:p>
        </w:tc>
        <w:tc>
          <w:tcPr>
            <w:tcW w:w="492" w:type="pct"/>
            <w:tcBorders>
              <w:top w:val="nil"/>
              <w:left w:val="nil"/>
              <w:bottom w:val="nil"/>
              <w:right w:val="nil"/>
            </w:tcBorders>
            <w:shd w:val="clear" w:color="auto" w:fill="auto"/>
            <w:noWrap/>
            <w:vAlign w:val="bottom"/>
            <w:hideMark/>
          </w:tcPr>
          <w:p w14:paraId="43B859E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52.137,66</w:t>
            </w:r>
          </w:p>
        </w:tc>
        <w:tc>
          <w:tcPr>
            <w:tcW w:w="403" w:type="pct"/>
            <w:tcBorders>
              <w:top w:val="nil"/>
              <w:left w:val="single" w:sz="4" w:space="0" w:color="95B3D7"/>
              <w:bottom w:val="nil"/>
              <w:right w:val="single" w:sz="4" w:space="0" w:color="95B3D7"/>
            </w:tcBorders>
            <w:shd w:val="clear" w:color="auto" w:fill="auto"/>
            <w:noWrap/>
            <w:vAlign w:val="bottom"/>
            <w:hideMark/>
          </w:tcPr>
          <w:p w14:paraId="125EAA9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121,50</w:t>
            </w:r>
          </w:p>
        </w:tc>
        <w:tc>
          <w:tcPr>
            <w:tcW w:w="451" w:type="pct"/>
            <w:tcBorders>
              <w:top w:val="nil"/>
              <w:left w:val="nil"/>
              <w:bottom w:val="nil"/>
              <w:right w:val="nil"/>
            </w:tcBorders>
            <w:shd w:val="clear" w:color="auto" w:fill="auto"/>
            <w:noWrap/>
            <w:vAlign w:val="bottom"/>
            <w:hideMark/>
          </w:tcPr>
          <w:p w14:paraId="54C4613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98,21</w:t>
            </w:r>
          </w:p>
        </w:tc>
      </w:tr>
      <w:tr w:rsidR="001738AF" w:rsidRPr="001738AF" w14:paraId="1890E798"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7B8B73C7"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3235 Zakupnine i najamnine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FE592A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116.698,23</w:t>
            </w:r>
          </w:p>
        </w:tc>
        <w:tc>
          <w:tcPr>
            <w:tcW w:w="492" w:type="pct"/>
            <w:tcBorders>
              <w:top w:val="single" w:sz="4" w:space="0" w:color="95B3D7"/>
              <w:left w:val="nil"/>
              <w:bottom w:val="single" w:sz="4" w:space="0" w:color="95B3D7"/>
              <w:right w:val="nil"/>
            </w:tcBorders>
            <w:shd w:val="clear" w:color="auto" w:fill="auto"/>
            <w:noWrap/>
            <w:vAlign w:val="bottom"/>
            <w:hideMark/>
          </w:tcPr>
          <w:p w14:paraId="1538DA9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289.911</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126308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279.911</w:t>
            </w:r>
          </w:p>
        </w:tc>
        <w:tc>
          <w:tcPr>
            <w:tcW w:w="492" w:type="pct"/>
            <w:tcBorders>
              <w:top w:val="single" w:sz="4" w:space="0" w:color="95B3D7"/>
              <w:left w:val="nil"/>
              <w:bottom w:val="single" w:sz="4" w:space="0" w:color="95B3D7"/>
              <w:right w:val="nil"/>
            </w:tcBorders>
            <w:shd w:val="clear" w:color="auto" w:fill="auto"/>
            <w:noWrap/>
            <w:vAlign w:val="bottom"/>
            <w:hideMark/>
          </w:tcPr>
          <w:p w14:paraId="7120F0A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264.970,57</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7BC29C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227,06</w:t>
            </w:r>
          </w:p>
        </w:tc>
        <w:tc>
          <w:tcPr>
            <w:tcW w:w="451" w:type="pct"/>
            <w:tcBorders>
              <w:top w:val="single" w:sz="4" w:space="0" w:color="95B3D7"/>
              <w:left w:val="nil"/>
              <w:bottom w:val="single" w:sz="4" w:space="0" w:color="95B3D7"/>
              <w:right w:val="nil"/>
            </w:tcBorders>
            <w:shd w:val="clear" w:color="auto" w:fill="auto"/>
            <w:noWrap/>
            <w:vAlign w:val="bottom"/>
            <w:hideMark/>
          </w:tcPr>
          <w:p w14:paraId="289C8B1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94,66</w:t>
            </w:r>
          </w:p>
        </w:tc>
      </w:tr>
      <w:tr w:rsidR="001738AF" w:rsidRPr="001738AF" w14:paraId="3EC03E02" w14:textId="77777777" w:rsidTr="001738AF">
        <w:trPr>
          <w:trHeight w:val="300"/>
        </w:trPr>
        <w:tc>
          <w:tcPr>
            <w:tcW w:w="2179" w:type="pct"/>
            <w:tcBorders>
              <w:top w:val="nil"/>
              <w:left w:val="nil"/>
              <w:bottom w:val="nil"/>
              <w:right w:val="nil"/>
            </w:tcBorders>
            <w:shd w:val="clear" w:color="auto" w:fill="auto"/>
            <w:vAlign w:val="bottom"/>
            <w:hideMark/>
          </w:tcPr>
          <w:p w14:paraId="0A117DD3"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3236 Zdravstvene i veterinarske usluge</w:t>
            </w:r>
          </w:p>
        </w:tc>
        <w:tc>
          <w:tcPr>
            <w:tcW w:w="492" w:type="pct"/>
            <w:tcBorders>
              <w:top w:val="nil"/>
              <w:left w:val="single" w:sz="4" w:space="0" w:color="95B3D7"/>
              <w:bottom w:val="nil"/>
              <w:right w:val="single" w:sz="4" w:space="0" w:color="95B3D7"/>
            </w:tcBorders>
            <w:shd w:val="clear" w:color="auto" w:fill="auto"/>
            <w:noWrap/>
            <w:vAlign w:val="bottom"/>
            <w:hideMark/>
          </w:tcPr>
          <w:p w14:paraId="5C14C5B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3.095,10</w:t>
            </w:r>
          </w:p>
        </w:tc>
        <w:tc>
          <w:tcPr>
            <w:tcW w:w="492" w:type="pct"/>
            <w:tcBorders>
              <w:top w:val="nil"/>
              <w:left w:val="nil"/>
              <w:bottom w:val="nil"/>
              <w:right w:val="nil"/>
            </w:tcBorders>
            <w:shd w:val="clear" w:color="auto" w:fill="auto"/>
            <w:noWrap/>
            <w:vAlign w:val="bottom"/>
            <w:hideMark/>
          </w:tcPr>
          <w:p w14:paraId="23F1006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26.651</w:t>
            </w:r>
          </w:p>
        </w:tc>
        <w:tc>
          <w:tcPr>
            <w:tcW w:w="492" w:type="pct"/>
            <w:tcBorders>
              <w:top w:val="nil"/>
              <w:left w:val="single" w:sz="4" w:space="0" w:color="95B3D7"/>
              <w:bottom w:val="nil"/>
              <w:right w:val="single" w:sz="4" w:space="0" w:color="95B3D7"/>
            </w:tcBorders>
            <w:shd w:val="clear" w:color="auto" w:fill="auto"/>
            <w:noWrap/>
            <w:vAlign w:val="bottom"/>
            <w:hideMark/>
          </w:tcPr>
          <w:p w14:paraId="6FAA295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17.651</w:t>
            </w:r>
          </w:p>
        </w:tc>
        <w:tc>
          <w:tcPr>
            <w:tcW w:w="492" w:type="pct"/>
            <w:tcBorders>
              <w:top w:val="nil"/>
              <w:left w:val="nil"/>
              <w:bottom w:val="nil"/>
              <w:right w:val="nil"/>
            </w:tcBorders>
            <w:shd w:val="clear" w:color="auto" w:fill="auto"/>
            <w:noWrap/>
            <w:vAlign w:val="bottom"/>
            <w:hideMark/>
          </w:tcPr>
          <w:p w14:paraId="6E01D7D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14.871,29</w:t>
            </w:r>
          </w:p>
        </w:tc>
        <w:tc>
          <w:tcPr>
            <w:tcW w:w="403" w:type="pct"/>
            <w:tcBorders>
              <w:top w:val="nil"/>
              <w:left w:val="single" w:sz="4" w:space="0" w:color="95B3D7"/>
              <w:bottom w:val="nil"/>
              <w:right w:val="single" w:sz="4" w:space="0" w:color="95B3D7"/>
            </w:tcBorders>
            <w:shd w:val="clear" w:color="auto" w:fill="auto"/>
            <w:noWrap/>
            <w:vAlign w:val="bottom"/>
            <w:hideMark/>
          </w:tcPr>
          <w:p w14:paraId="57C1FAB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480,48</w:t>
            </w:r>
          </w:p>
        </w:tc>
        <w:tc>
          <w:tcPr>
            <w:tcW w:w="451" w:type="pct"/>
            <w:tcBorders>
              <w:top w:val="nil"/>
              <w:left w:val="nil"/>
              <w:bottom w:val="nil"/>
              <w:right w:val="nil"/>
            </w:tcBorders>
            <w:shd w:val="clear" w:color="auto" w:fill="auto"/>
            <w:noWrap/>
            <w:vAlign w:val="bottom"/>
            <w:hideMark/>
          </w:tcPr>
          <w:p w14:paraId="47BD284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84,25</w:t>
            </w:r>
          </w:p>
        </w:tc>
      </w:tr>
      <w:tr w:rsidR="001738AF" w:rsidRPr="001738AF" w14:paraId="75E6D057"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7017AE5C"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3237 Intelektualne i osobne usluge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789053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447.647,95</w:t>
            </w:r>
          </w:p>
        </w:tc>
        <w:tc>
          <w:tcPr>
            <w:tcW w:w="492" w:type="pct"/>
            <w:tcBorders>
              <w:top w:val="single" w:sz="4" w:space="0" w:color="95B3D7"/>
              <w:left w:val="nil"/>
              <w:bottom w:val="single" w:sz="4" w:space="0" w:color="95B3D7"/>
              <w:right w:val="nil"/>
            </w:tcBorders>
            <w:shd w:val="clear" w:color="auto" w:fill="auto"/>
            <w:noWrap/>
            <w:vAlign w:val="bottom"/>
            <w:hideMark/>
          </w:tcPr>
          <w:p w14:paraId="3E9B053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66.289</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C25270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56.289</w:t>
            </w:r>
          </w:p>
        </w:tc>
        <w:tc>
          <w:tcPr>
            <w:tcW w:w="492" w:type="pct"/>
            <w:tcBorders>
              <w:top w:val="single" w:sz="4" w:space="0" w:color="95B3D7"/>
              <w:left w:val="nil"/>
              <w:bottom w:val="single" w:sz="4" w:space="0" w:color="95B3D7"/>
              <w:right w:val="nil"/>
            </w:tcBorders>
            <w:shd w:val="clear" w:color="auto" w:fill="auto"/>
            <w:noWrap/>
            <w:vAlign w:val="bottom"/>
            <w:hideMark/>
          </w:tcPr>
          <w:p w14:paraId="18578CB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36.137,79</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1BE196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8,07</w:t>
            </w:r>
          </w:p>
        </w:tc>
        <w:tc>
          <w:tcPr>
            <w:tcW w:w="451" w:type="pct"/>
            <w:tcBorders>
              <w:top w:val="single" w:sz="4" w:space="0" w:color="95B3D7"/>
              <w:left w:val="nil"/>
              <w:bottom w:val="single" w:sz="4" w:space="0" w:color="95B3D7"/>
              <w:right w:val="nil"/>
            </w:tcBorders>
            <w:shd w:val="clear" w:color="auto" w:fill="auto"/>
            <w:noWrap/>
            <w:vAlign w:val="bottom"/>
            <w:hideMark/>
          </w:tcPr>
          <w:p w14:paraId="24E164D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64,20</w:t>
            </w:r>
          </w:p>
        </w:tc>
      </w:tr>
      <w:tr w:rsidR="001738AF" w:rsidRPr="001738AF" w14:paraId="5FCCE995" w14:textId="77777777" w:rsidTr="001738AF">
        <w:trPr>
          <w:trHeight w:val="300"/>
        </w:trPr>
        <w:tc>
          <w:tcPr>
            <w:tcW w:w="2179" w:type="pct"/>
            <w:tcBorders>
              <w:top w:val="nil"/>
              <w:left w:val="nil"/>
              <w:bottom w:val="nil"/>
              <w:right w:val="nil"/>
            </w:tcBorders>
            <w:shd w:val="clear" w:color="auto" w:fill="auto"/>
            <w:vAlign w:val="bottom"/>
            <w:hideMark/>
          </w:tcPr>
          <w:p w14:paraId="32D38EF2"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lastRenderedPageBreak/>
              <w:t>3238 Računalne usluge</w:t>
            </w:r>
          </w:p>
        </w:tc>
        <w:tc>
          <w:tcPr>
            <w:tcW w:w="492" w:type="pct"/>
            <w:tcBorders>
              <w:top w:val="nil"/>
              <w:left w:val="single" w:sz="4" w:space="0" w:color="95B3D7"/>
              <w:bottom w:val="nil"/>
              <w:right w:val="single" w:sz="4" w:space="0" w:color="95B3D7"/>
            </w:tcBorders>
            <w:shd w:val="clear" w:color="auto" w:fill="auto"/>
            <w:noWrap/>
            <w:vAlign w:val="bottom"/>
            <w:hideMark/>
          </w:tcPr>
          <w:p w14:paraId="791F9EC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79.467,39</w:t>
            </w:r>
          </w:p>
        </w:tc>
        <w:tc>
          <w:tcPr>
            <w:tcW w:w="492" w:type="pct"/>
            <w:tcBorders>
              <w:top w:val="nil"/>
              <w:left w:val="nil"/>
              <w:bottom w:val="nil"/>
              <w:right w:val="nil"/>
            </w:tcBorders>
            <w:shd w:val="clear" w:color="auto" w:fill="auto"/>
            <w:noWrap/>
            <w:vAlign w:val="bottom"/>
            <w:hideMark/>
          </w:tcPr>
          <w:p w14:paraId="4D1AE8F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237.334</w:t>
            </w:r>
          </w:p>
        </w:tc>
        <w:tc>
          <w:tcPr>
            <w:tcW w:w="492" w:type="pct"/>
            <w:tcBorders>
              <w:top w:val="nil"/>
              <w:left w:val="single" w:sz="4" w:space="0" w:color="95B3D7"/>
              <w:bottom w:val="nil"/>
              <w:right w:val="single" w:sz="4" w:space="0" w:color="95B3D7"/>
            </w:tcBorders>
            <w:shd w:val="clear" w:color="auto" w:fill="auto"/>
            <w:noWrap/>
            <w:vAlign w:val="bottom"/>
            <w:hideMark/>
          </w:tcPr>
          <w:p w14:paraId="1C695B2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237.334</w:t>
            </w:r>
          </w:p>
        </w:tc>
        <w:tc>
          <w:tcPr>
            <w:tcW w:w="492" w:type="pct"/>
            <w:tcBorders>
              <w:top w:val="nil"/>
              <w:left w:val="nil"/>
              <w:bottom w:val="nil"/>
              <w:right w:val="nil"/>
            </w:tcBorders>
            <w:shd w:val="clear" w:color="auto" w:fill="auto"/>
            <w:noWrap/>
            <w:vAlign w:val="bottom"/>
            <w:hideMark/>
          </w:tcPr>
          <w:p w14:paraId="10DB8D5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223.698,57</w:t>
            </w:r>
          </w:p>
        </w:tc>
        <w:tc>
          <w:tcPr>
            <w:tcW w:w="403" w:type="pct"/>
            <w:tcBorders>
              <w:top w:val="nil"/>
              <w:left w:val="single" w:sz="4" w:space="0" w:color="95B3D7"/>
              <w:bottom w:val="nil"/>
              <w:right w:val="single" w:sz="4" w:space="0" w:color="95B3D7"/>
            </w:tcBorders>
            <w:shd w:val="clear" w:color="auto" w:fill="auto"/>
            <w:noWrap/>
            <w:vAlign w:val="bottom"/>
            <w:hideMark/>
          </w:tcPr>
          <w:p w14:paraId="51C9FAB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281,50</w:t>
            </w:r>
          </w:p>
        </w:tc>
        <w:tc>
          <w:tcPr>
            <w:tcW w:w="451" w:type="pct"/>
            <w:tcBorders>
              <w:top w:val="nil"/>
              <w:left w:val="nil"/>
              <w:bottom w:val="nil"/>
              <w:right w:val="nil"/>
            </w:tcBorders>
            <w:shd w:val="clear" w:color="auto" w:fill="auto"/>
            <w:noWrap/>
            <w:vAlign w:val="bottom"/>
            <w:hideMark/>
          </w:tcPr>
          <w:p w14:paraId="4CA48D4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94,25</w:t>
            </w:r>
          </w:p>
        </w:tc>
      </w:tr>
      <w:tr w:rsidR="001738AF" w:rsidRPr="001738AF" w14:paraId="3AF996B4"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5329DE95"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3239 Ostale usluge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84CD1B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160.966,51</w:t>
            </w:r>
          </w:p>
        </w:tc>
        <w:tc>
          <w:tcPr>
            <w:tcW w:w="492" w:type="pct"/>
            <w:tcBorders>
              <w:top w:val="single" w:sz="4" w:space="0" w:color="95B3D7"/>
              <w:left w:val="nil"/>
              <w:bottom w:val="single" w:sz="4" w:space="0" w:color="95B3D7"/>
              <w:right w:val="nil"/>
            </w:tcBorders>
            <w:shd w:val="clear" w:color="auto" w:fill="auto"/>
            <w:noWrap/>
            <w:vAlign w:val="bottom"/>
            <w:hideMark/>
          </w:tcPr>
          <w:p w14:paraId="061666A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185.640</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46CA9E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185.640</w:t>
            </w:r>
          </w:p>
        </w:tc>
        <w:tc>
          <w:tcPr>
            <w:tcW w:w="492" w:type="pct"/>
            <w:tcBorders>
              <w:top w:val="single" w:sz="4" w:space="0" w:color="95B3D7"/>
              <w:left w:val="nil"/>
              <w:bottom w:val="single" w:sz="4" w:space="0" w:color="95B3D7"/>
              <w:right w:val="nil"/>
            </w:tcBorders>
            <w:shd w:val="clear" w:color="auto" w:fill="auto"/>
            <w:noWrap/>
            <w:vAlign w:val="bottom"/>
            <w:hideMark/>
          </w:tcPr>
          <w:p w14:paraId="77BDB95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182.869,08</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47CE71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113,61</w:t>
            </w:r>
          </w:p>
        </w:tc>
        <w:tc>
          <w:tcPr>
            <w:tcW w:w="451" w:type="pct"/>
            <w:tcBorders>
              <w:top w:val="single" w:sz="4" w:space="0" w:color="95B3D7"/>
              <w:left w:val="nil"/>
              <w:bottom w:val="single" w:sz="4" w:space="0" w:color="95B3D7"/>
              <w:right w:val="nil"/>
            </w:tcBorders>
            <w:shd w:val="clear" w:color="auto" w:fill="auto"/>
            <w:noWrap/>
            <w:vAlign w:val="bottom"/>
            <w:hideMark/>
          </w:tcPr>
          <w:p w14:paraId="06BA7A7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98,51</w:t>
            </w:r>
          </w:p>
        </w:tc>
      </w:tr>
      <w:tr w:rsidR="001738AF" w:rsidRPr="001738AF" w14:paraId="377A3B02" w14:textId="77777777" w:rsidTr="001738AF">
        <w:trPr>
          <w:trHeight w:val="300"/>
        </w:trPr>
        <w:tc>
          <w:tcPr>
            <w:tcW w:w="2179" w:type="pct"/>
            <w:tcBorders>
              <w:top w:val="nil"/>
              <w:left w:val="nil"/>
              <w:bottom w:val="nil"/>
              <w:right w:val="nil"/>
            </w:tcBorders>
            <w:shd w:val="clear" w:color="auto" w:fill="auto"/>
            <w:vAlign w:val="bottom"/>
            <w:hideMark/>
          </w:tcPr>
          <w:p w14:paraId="14173EF3"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324 Naknade troškova osobama izvan radnog odnosa</w:t>
            </w:r>
          </w:p>
        </w:tc>
        <w:tc>
          <w:tcPr>
            <w:tcW w:w="492" w:type="pct"/>
            <w:tcBorders>
              <w:top w:val="nil"/>
              <w:left w:val="single" w:sz="4" w:space="0" w:color="95B3D7"/>
              <w:bottom w:val="nil"/>
              <w:right w:val="single" w:sz="4" w:space="0" w:color="95B3D7"/>
            </w:tcBorders>
            <w:shd w:val="clear" w:color="auto" w:fill="auto"/>
            <w:noWrap/>
            <w:vAlign w:val="bottom"/>
            <w:hideMark/>
          </w:tcPr>
          <w:p w14:paraId="5AD6B5A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105.650,10</w:t>
            </w:r>
          </w:p>
        </w:tc>
        <w:tc>
          <w:tcPr>
            <w:tcW w:w="492" w:type="pct"/>
            <w:tcBorders>
              <w:top w:val="nil"/>
              <w:left w:val="nil"/>
              <w:bottom w:val="nil"/>
              <w:right w:val="nil"/>
            </w:tcBorders>
            <w:shd w:val="clear" w:color="auto" w:fill="auto"/>
            <w:noWrap/>
            <w:vAlign w:val="bottom"/>
            <w:hideMark/>
          </w:tcPr>
          <w:p w14:paraId="7A03F5DF" w14:textId="77777777" w:rsidR="001738AF" w:rsidRPr="001738AF" w:rsidRDefault="001738AF" w:rsidP="001738AF">
            <w:pPr>
              <w:widowControl/>
              <w:autoSpaceDE/>
              <w:autoSpaceDN/>
              <w:adjustRightInd/>
              <w:jc w:val="right"/>
              <w:rPr>
                <w:rFonts w:ascii="Calibri" w:hAnsi="Calibri" w:cs="Calibri"/>
                <w:b/>
                <w:bCs/>
                <w:color w:val="000000"/>
                <w:sz w:val="18"/>
                <w:szCs w:val="18"/>
              </w:rPr>
            </w:pPr>
          </w:p>
        </w:tc>
        <w:tc>
          <w:tcPr>
            <w:tcW w:w="492" w:type="pct"/>
            <w:tcBorders>
              <w:top w:val="nil"/>
              <w:left w:val="single" w:sz="4" w:space="0" w:color="95B3D7"/>
              <w:bottom w:val="nil"/>
              <w:right w:val="single" w:sz="4" w:space="0" w:color="95B3D7"/>
            </w:tcBorders>
            <w:shd w:val="clear" w:color="auto" w:fill="auto"/>
            <w:noWrap/>
            <w:vAlign w:val="bottom"/>
            <w:hideMark/>
          </w:tcPr>
          <w:p w14:paraId="04FC7848" w14:textId="77777777" w:rsidR="001738AF" w:rsidRPr="001738AF" w:rsidRDefault="001738AF" w:rsidP="001738AF">
            <w:pPr>
              <w:widowControl/>
              <w:autoSpaceDE/>
              <w:autoSpaceDN/>
              <w:adjustRightInd/>
              <w:jc w:val="left"/>
              <w:rPr>
                <w:rFonts w:ascii="Times New Roman" w:hAnsi="Times New Roman"/>
                <w:sz w:val="20"/>
                <w:szCs w:val="20"/>
              </w:rPr>
            </w:pPr>
          </w:p>
        </w:tc>
        <w:tc>
          <w:tcPr>
            <w:tcW w:w="492" w:type="pct"/>
            <w:tcBorders>
              <w:top w:val="nil"/>
              <w:left w:val="nil"/>
              <w:bottom w:val="nil"/>
              <w:right w:val="nil"/>
            </w:tcBorders>
            <w:shd w:val="clear" w:color="auto" w:fill="auto"/>
            <w:noWrap/>
            <w:vAlign w:val="bottom"/>
            <w:hideMark/>
          </w:tcPr>
          <w:p w14:paraId="649F16D4" w14:textId="77777777" w:rsidR="001738AF" w:rsidRPr="001738AF" w:rsidRDefault="001738AF" w:rsidP="001738AF">
            <w:pPr>
              <w:widowControl/>
              <w:autoSpaceDE/>
              <w:autoSpaceDN/>
              <w:adjustRightInd/>
              <w:jc w:val="left"/>
              <w:rPr>
                <w:rFonts w:ascii="Times New Roman" w:hAnsi="Times New Roman"/>
                <w:sz w:val="20"/>
                <w:szCs w:val="20"/>
              </w:rPr>
            </w:pPr>
          </w:p>
        </w:tc>
        <w:tc>
          <w:tcPr>
            <w:tcW w:w="403" w:type="pct"/>
            <w:tcBorders>
              <w:top w:val="nil"/>
              <w:left w:val="single" w:sz="4" w:space="0" w:color="95B3D7"/>
              <w:bottom w:val="nil"/>
              <w:right w:val="single" w:sz="4" w:space="0" w:color="95B3D7"/>
            </w:tcBorders>
            <w:shd w:val="clear" w:color="auto" w:fill="auto"/>
            <w:noWrap/>
            <w:vAlign w:val="bottom"/>
            <w:hideMark/>
          </w:tcPr>
          <w:p w14:paraId="463BB774" w14:textId="77777777" w:rsidR="001738AF" w:rsidRPr="001738AF" w:rsidRDefault="001738AF" w:rsidP="001738AF">
            <w:pPr>
              <w:widowControl/>
              <w:autoSpaceDE/>
              <w:autoSpaceDN/>
              <w:adjustRightInd/>
              <w:jc w:val="left"/>
              <w:rPr>
                <w:rFonts w:ascii="Times New Roman" w:hAnsi="Times New Roman"/>
                <w:sz w:val="20"/>
                <w:szCs w:val="20"/>
              </w:rPr>
            </w:pPr>
          </w:p>
        </w:tc>
        <w:tc>
          <w:tcPr>
            <w:tcW w:w="451" w:type="pct"/>
            <w:tcBorders>
              <w:top w:val="nil"/>
              <w:left w:val="nil"/>
              <w:bottom w:val="nil"/>
              <w:right w:val="nil"/>
            </w:tcBorders>
            <w:shd w:val="clear" w:color="auto" w:fill="auto"/>
            <w:noWrap/>
            <w:vAlign w:val="bottom"/>
            <w:hideMark/>
          </w:tcPr>
          <w:p w14:paraId="7BF9C151"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4C36EED7"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67369BDC"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3241 Naknade troškova osobama izvan radnog odnosa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506227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105.650,10</w:t>
            </w:r>
          </w:p>
        </w:tc>
        <w:tc>
          <w:tcPr>
            <w:tcW w:w="492" w:type="pct"/>
            <w:tcBorders>
              <w:top w:val="single" w:sz="4" w:space="0" w:color="95B3D7"/>
              <w:left w:val="nil"/>
              <w:bottom w:val="single" w:sz="4" w:space="0" w:color="95B3D7"/>
              <w:right w:val="nil"/>
            </w:tcBorders>
            <w:shd w:val="clear" w:color="auto" w:fill="auto"/>
            <w:noWrap/>
            <w:vAlign w:val="bottom"/>
            <w:hideMark/>
          </w:tcPr>
          <w:p w14:paraId="4765C789" w14:textId="77777777" w:rsidR="001738AF" w:rsidRPr="001738AF" w:rsidRDefault="001738AF" w:rsidP="001738AF">
            <w:pPr>
              <w:widowControl/>
              <w:autoSpaceDE/>
              <w:autoSpaceDN/>
              <w:adjustRightInd/>
              <w:jc w:val="right"/>
              <w:rPr>
                <w:rFonts w:ascii="Calibri" w:hAnsi="Calibri" w:cs="Calibri"/>
                <w:color w:val="000000"/>
                <w:sz w:val="18"/>
                <w:szCs w:val="18"/>
              </w:rPr>
            </w:pP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6A4C077" w14:textId="77777777" w:rsidR="001738AF" w:rsidRPr="001738AF" w:rsidRDefault="001738AF" w:rsidP="001738AF">
            <w:pPr>
              <w:widowControl/>
              <w:autoSpaceDE/>
              <w:autoSpaceDN/>
              <w:adjustRightInd/>
              <w:jc w:val="left"/>
              <w:rPr>
                <w:rFonts w:ascii="Times New Roman" w:hAnsi="Times New Roman"/>
                <w:sz w:val="20"/>
                <w:szCs w:val="20"/>
              </w:rPr>
            </w:pPr>
          </w:p>
        </w:tc>
        <w:tc>
          <w:tcPr>
            <w:tcW w:w="492" w:type="pct"/>
            <w:tcBorders>
              <w:top w:val="single" w:sz="4" w:space="0" w:color="95B3D7"/>
              <w:left w:val="nil"/>
              <w:bottom w:val="single" w:sz="4" w:space="0" w:color="95B3D7"/>
              <w:right w:val="nil"/>
            </w:tcBorders>
            <w:shd w:val="clear" w:color="auto" w:fill="auto"/>
            <w:noWrap/>
            <w:vAlign w:val="bottom"/>
            <w:hideMark/>
          </w:tcPr>
          <w:p w14:paraId="19786C13" w14:textId="77777777" w:rsidR="001738AF" w:rsidRPr="001738AF" w:rsidRDefault="001738AF" w:rsidP="001738AF">
            <w:pPr>
              <w:widowControl/>
              <w:autoSpaceDE/>
              <w:autoSpaceDN/>
              <w:adjustRightInd/>
              <w:jc w:val="left"/>
              <w:rPr>
                <w:rFonts w:ascii="Times New Roman" w:hAnsi="Times New Roman"/>
                <w:sz w:val="20"/>
                <w:szCs w:val="20"/>
              </w:rPr>
            </w:pP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BD6DC62" w14:textId="77777777" w:rsidR="001738AF" w:rsidRPr="001738AF" w:rsidRDefault="001738AF" w:rsidP="001738AF">
            <w:pPr>
              <w:widowControl/>
              <w:autoSpaceDE/>
              <w:autoSpaceDN/>
              <w:adjustRightInd/>
              <w:jc w:val="left"/>
              <w:rPr>
                <w:rFonts w:ascii="Times New Roman" w:hAnsi="Times New Roman"/>
                <w:sz w:val="20"/>
                <w:szCs w:val="20"/>
              </w:rPr>
            </w:pPr>
          </w:p>
        </w:tc>
        <w:tc>
          <w:tcPr>
            <w:tcW w:w="451" w:type="pct"/>
            <w:tcBorders>
              <w:top w:val="single" w:sz="4" w:space="0" w:color="95B3D7"/>
              <w:left w:val="nil"/>
              <w:bottom w:val="single" w:sz="4" w:space="0" w:color="95B3D7"/>
              <w:right w:val="nil"/>
            </w:tcBorders>
            <w:shd w:val="clear" w:color="auto" w:fill="auto"/>
            <w:noWrap/>
            <w:vAlign w:val="bottom"/>
            <w:hideMark/>
          </w:tcPr>
          <w:p w14:paraId="3CD18061"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0BE1E814" w14:textId="77777777" w:rsidTr="001738AF">
        <w:trPr>
          <w:trHeight w:val="300"/>
        </w:trPr>
        <w:tc>
          <w:tcPr>
            <w:tcW w:w="2179" w:type="pct"/>
            <w:tcBorders>
              <w:top w:val="nil"/>
              <w:left w:val="nil"/>
              <w:bottom w:val="nil"/>
              <w:right w:val="nil"/>
            </w:tcBorders>
            <w:shd w:val="clear" w:color="auto" w:fill="auto"/>
            <w:vAlign w:val="bottom"/>
            <w:hideMark/>
          </w:tcPr>
          <w:p w14:paraId="727593A1"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329 Ostali nespomenuti rashodi poslovanja</w:t>
            </w:r>
          </w:p>
        </w:tc>
        <w:tc>
          <w:tcPr>
            <w:tcW w:w="492" w:type="pct"/>
            <w:tcBorders>
              <w:top w:val="nil"/>
              <w:left w:val="single" w:sz="4" w:space="0" w:color="95B3D7"/>
              <w:bottom w:val="nil"/>
              <w:right w:val="single" w:sz="4" w:space="0" w:color="95B3D7"/>
            </w:tcBorders>
            <w:shd w:val="clear" w:color="auto" w:fill="auto"/>
            <w:noWrap/>
            <w:vAlign w:val="bottom"/>
            <w:hideMark/>
          </w:tcPr>
          <w:p w14:paraId="23AD8C6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63.697,87</w:t>
            </w:r>
          </w:p>
        </w:tc>
        <w:tc>
          <w:tcPr>
            <w:tcW w:w="492" w:type="pct"/>
            <w:tcBorders>
              <w:top w:val="nil"/>
              <w:left w:val="nil"/>
              <w:bottom w:val="nil"/>
              <w:right w:val="nil"/>
            </w:tcBorders>
            <w:shd w:val="clear" w:color="auto" w:fill="auto"/>
            <w:noWrap/>
            <w:vAlign w:val="bottom"/>
            <w:hideMark/>
          </w:tcPr>
          <w:p w14:paraId="53F07AF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117.120</w:t>
            </w:r>
          </w:p>
        </w:tc>
        <w:tc>
          <w:tcPr>
            <w:tcW w:w="492" w:type="pct"/>
            <w:tcBorders>
              <w:top w:val="nil"/>
              <w:left w:val="single" w:sz="4" w:space="0" w:color="95B3D7"/>
              <w:bottom w:val="nil"/>
              <w:right w:val="single" w:sz="4" w:space="0" w:color="95B3D7"/>
            </w:tcBorders>
            <w:shd w:val="clear" w:color="auto" w:fill="auto"/>
            <w:noWrap/>
            <w:vAlign w:val="bottom"/>
            <w:hideMark/>
          </w:tcPr>
          <w:p w14:paraId="4BAA92B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115.120</w:t>
            </w:r>
          </w:p>
        </w:tc>
        <w:tc>
          <w:tcPr>
            <w:tcW w:w="492" w:type="pct"/>
            <w:tcBorders>
              <w:top w:val="nil"/>
              <w:left w:val="nil"/>
              <w:bottom w:val="nil"/>
              <w:right w:val="nil"/>
            </w:tcBorders>
            <w:shd w:val="clear" w:color="auto" w:fill="auto"/>
            <w:noWrap/>
            <w:vAlign w:val="bottom"/>
            <w:hideMark/>
          </w:tcPr>
          <w:p w14:paraId="69CABA9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102.931,56</w:t>
            </w:r>
          </w:p>
        </w:tc>
        <w:tc>
          <w:tcPr>
            <w:tcW w:w="403" w:type="pct"/>
            <w:tcBorders>
              <w:top w:val="nil"/>
              <w:left w:val="single" w:sz="4" w:space="0" w:color="95B3D7"/>
              <w:bottom w:val="nil"/>
              <w:right w:val="single" w:sz="4" w:space="0" w:color="95B3D7"/>
            </w:tcBorders>
            <w:shd w:val="clear" w:color="auto" w:fill="auto"/>
            <w:noWrap/>
            <w:vAlign w:val="bottom"/>
            <w:hideMark/>
          </w:tcPr>
          <w:p w14:paraId="2165EDD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161,59</w:t>
            </w:r>
          </w:p>
        </w:tc>
        <w:tc>
          <w:tcPr>
            <w:tcW w:w="451" w:type="pct"/>
            <w:tcBorders>
              <w:top w:val="nil"/>
              <w:left w:val="nil"/>
              <w:bottom w:val="nil"/>
              <w:right w:val="nil"/>
            </w:tcBorders>
            <w:shd w:val="clear" w:color="auto" w:fill="auto"/>
            <w:noWrap/>
            <w:vAlign w:val="bottom"/>
            <w:hideMark/>
          </w:tcPr>
          <w:p w14:paraId="5E62B5B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89,41</w:t>
            </w:r>
          </w:p>
        </w:tc>
      </w:tr>
      <w:tr w:rsidR="001738AF" w:rsidRPr="001738AF" w14:paraId="6E2F14AB" w14:textId="77777777" w:rsidTr="001738AF">
        <w:trPr>
          <w:trHeight w:val="279"/>
        </w:trPr>
        <w:tc>
          <w:tcPr>
            <w:tcW w:w="2179" w:type="pct"/>
            <w:tcBorders>
              <w:top w:val="single" w:sz="4" w:space="0" w:color="95B3D7"/>
              <w:left w:val="nil"/>
              <w:bottom w:val="single" w:sz="4" w:space="0" w:color="95B3D7"/>
              <w:right w:val="nil"/>
            </w:tcBorders>
            <w:shd w:val="clear" w:color="auto" w:fill="auto"/>
            <w:vAlign w:val="bottom"/>
            <w:hideMark/>
          </w:tcPr>
          <w:p w14:paraId="7490FC63"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3291 Naknade za rad predstavničkih i izvršnih tijela, povjerenstava i slično</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92F59D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15.203,61</w:t>
            </w:r>
          </w:p>
        </w:tc>
        <w:tc>
          <w:tcPr>
            <w:tcW w:w="492" w:type="pct"/>
            <w:tcBorders>
              <w:top w:val="single" w:sz="4" w:space="0" w:color="95B3D7"/>
              <w:left w:val="nil"/>
              <w:bottom w:val="single" w:sz="4" w:space="0" w:color="95B3D7"/>
              <w:right w:val="nil"/>
            </w:tcBorders>
            <w:shd w:val="clear" w:color="auto" w:fill="auto"/>
            <w:noWrap/>
            <w:vAlign w:val="bottom"/>
            <w:hideMark/>
          </w:tcPr>
          <w:p w14:paraId="2896CBA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19.908</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C0F75D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19.908</w:t>
            </w:r>
          </w:p>
        </w:tc>
        <w:tc>
          <w:tcPr>
            <w:tcW w:w="492" w:type="pct"/>
            <w:tcBorders>
              <w:top w:val="single" w:sz="4" w:space="0" w:color="95B3D7"/>
              <w:left w:val="nil"/>
              <w:bottom w:val="single" w:sz="4" w:space="0" w:color="95B3D7"/>
              <w:right w:val="nil"/>
            </w:tcBorders>
            <w:shd w:val="clear" w:color="auto" w:fill="auto"/>
            <w:noWrap/>
            <w:vAlign w:val="bottom"/>
            <w:hideMark/>
          </w:tcPr>
          <w:p w14:paraId="3828D7C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19.324,08</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1EBC8B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127,10</w:t>
            </w:r>
          </w:p>
        </w:tc>
        <w:tc>
          <w:tcPr>
            <w:tcW w:w="451" w:type="pct"/>
            <w:tcBorders>
              <w:top w:val="single" w:sz="4" w:space="0" w:color="95B3D7"/>
              <w:left w:val="nil"/>
              <w:bottom w:val="single" w:sz="4" w:space="0" w:color="95B3D7"/>
              <w:right w:val="nil"/>
            </w:tcBorders>
            <w:shd w:val="clear" w:color="auto" w:fill="auto"/>
            <w:noWrap/>
            <w:vAlign w:val="bottom"/>
            <w:hideMark/>
          </w:tcPr>
          <w:p w14:paraId="1D80B86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97,07</w:t>
            </w:r>
          </w:p>
        </w:tc>
      </w:tr>
      <w:tr w:rsidR="001738AF" w:rsidRPr="001738AF" w14:paraId="04E31136" w14:textId="77777777" w:rsidTr="001738AF">
        <w:trPr>
          <w:trHeight w:val="300"/>
        </w:trPr>
        <w:tc>
          <w:tcPr>
            <w:tcW w:w="2179" w:type="pct"/>
            <w:tcBorders>
              <w:top w:val="nil"/>
              <w:left w:val="nil"/>
              <w:bottom w:val="nil"/>
              <w:right w:val="nil"/>
            </w:tcBorders>
            <w:shd w:val="clear" w:color="auto" w:fill="auto"/>
            <w:vAlign w:val="bottom"/>
            <w:hideMark/>
          </w:tcPr>
          <w:p w14:paraId="1F38C861"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3292 Premije osiguranja</w:t>
            </w:r>
          </w:p>
        </w:tc>
        <w:tc>
          <w:tcPr>
            <w:tcW w:w="492" w:type="pct"/>
            <w:tcBorders>
              <w:top w:val="nil"/>
              <w:left w:val="single" w:sz="4" w:space="0" w:color="95B3D7"/>
              <w:bottom w:val="nil"/>
              <w:right w:val="single" w:sz="4" w:space="0" w:color="95B3D7"/>
            </w:tcBorders>
            <w:shd w:val="clear" w:color="auto" w:fill="auto"/>
            <w:noWrap/>
            <w:vAlign w:val="bottom"/>
            <w:hideMark/>
          </w:tcPr>
          <w:p w14:paraId="606BE63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8.049,98</w:t>
            </w:r>
          </w:p>
        </w:tc>
        <w:tc>
          <w:tcPr>
            <w:tcW w:w="492" w:type="pct"/>
            <w:tcBorders>
              <w:top w:val="nil"/>
              <w:left w:val="nil"/>
              <w:bottom w:val="nil"/>
              <w:right w:val="nil"/>
            </w:tcBorders>
            <w:shd w:val="clear" w:color="auto" w:fill="auto"/>
            <w:noWrap/>
            <w:vAlign w:val="bottom"/>
            <w:hideMark/>
          </w:tcPr>
          <w:p w14:paraId="266B8F9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10.618</w:t>
            </w:r>
          </w:p>
        </w:tc>
        <w:tc>
          <w:tcPr>
            <w:tcW w:w="492" w:type="pct"/>
            <w:tcBorders>
              <w:top w:val="nil"/>
              <w:left w:val="single" w:sz="4" w:space="0" w:color="95B3D7"/>
              <w:bottom w:val="nil"/>
              <w:right w:val="single" w:sz="4" w:space="0" w:color="95B3D7"/>
            </w:tcBorders>
            <w:shd w:val="clear" w:color="auto" w:fill="auto"/>
            <w:noWrap/>
            <w:vAlign w:val="bottom"/>
            <w:hideMark/>
          </w:tcPr>
          <w:p w14:paraId="076F816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8.618</w:t>
            </w:r>
          </w:p>
        </w:tc>
        <w:tc>
          <w:tcPr>
            <w:tcW w:w="492" w:type="pct"/>
            <w:tcBorders>
              <w:top w:val="nil"/>
              <w:left w:val="nil"/>
              <w:bottom w:val="nil"/>
              <w:right w:val="nil"/>
            </w:tcBorders>
            <w:shd w:val="clear" w:color="auto" w:fill="auto"/>
            <w:noWrap/>
            <w:vAlign w:val="bottom"/>
            <w:hideMark/>
          </w:tcPr>
          <w:p w14:paraId="5BC2EF3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9.654,27</w:t>
            </w:r>
          </w:p>
        </w:tc>
        <w:tc>
          <w:tcPr>
            <w:tcW w:w="403" w:type="pct"/>
            <w:tcBorders>
              <w:top w:val="nil"/>
              <w:left w:val="single" w:sz="4" w:space="0" w:color="95B3D7"/>
              <w:bottom w:val="nil"/>
              <w:right w:val="single" w:sz="4" w:space="0" w:color="95B3D7"/>
            </w:tcBorders>
            <w:shd w:val="clear" w:color="auto" w:fill="auto"/>
            <w:noWrap/>
            <w:vAlign w:val="bottom"/>
            <w:hideMark/>
          </w:tcPr>
          <w:p w14:paraId="60607C7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119,93</w:t>
            </w:r>
          </w:p>
        </w:tc>
        <w:tc>
          <w:tcPr>
            <w:tcW w:w="451" w:type="pct"/>
            <w:tcBorders>
              <w:top w:val="nil"/>
              <w:left w:val="nil"/>
              <w:bottom w:val="nil"/>
              <w:right w:val="nil"/>
            </w:tcBorders>
            <w:shd w:val="clear" w:color="auto" w:fill="auto"/>
            <w:noWrap/>
            <w:vAlign w:val="bottom"/>
            <w:hideMark/>
          </w:tcPr>
          <w:p w14:paraId="7094508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112,02</w:t>
            </w:r>
          </w:p>
        </w:tc>
      </w:tr>
      <w:tr w:rsidR="001738AF" w:rsidRPr="001738AF" w14:paraId="738B81D4"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1617EBF5"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3293 Reprezentacija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EC3D75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21.942,26</w:t>
            </w:r>
          </w:p>
        </w:tc>
        <w:tc>
          <w:tcPr>
            <w:tcW w:w="492" w:type="pct"/>
            <w:tcBorders>
              <w:top w:val="single" w:sz="4" w:space="0" w:color="95B3D7"/>
              <w:left w:val="nil"/>
              <w:bottom w:val="single" w:sz="4" w:space="0" w:color="95B3D7"/>
              <w:right w:val="nil"/>
            </w:tcBorders>
            <w:shd w:val="clear" w:color="auto" w:fill="auto"/>
            <w:noWrap/>
            <w:vAlign w:val="bottom"/>
            <w:hideMark/>
          </w:tcPr>
          <w:p w14:paraId="2A290D6F"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61.600</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3F5133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61.600</w:t>
            </w:r>
          </w:p>
        </w:tc>
        <w:tc>
          <w:tcPr>
            <w:tcW w:w="492" w:type="pct"/>
            <w:tcBorders>
              <w:top w:val="single" w:sz="4" w:space="0" w:color="95B3D7"/>
              <w:left w:val="nil"/>
              <w:bottom w:val="single" w:sz="4" w:space="0" w:color="95B3D7"/>
              <w:right w:val="nil"/>
            </w:tcBorders>
            <w:shd w:val="clear" w:color="auto" w:fill="auto"/>
            <w:noWrap/>
            <w:vAlign w:val="bottom"/>
            <w:hideMark/>
          </w:tcPr>
          <w:p w14:paraId="6BEF388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51.594,43</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357EC6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235,14</w:t>
            </w:r>
          </w:p>
        </w:tc>
        <w:tc>
          <w:tcPr>
            <w:tcW w:w="451" w:type="pct"/>
            <w:tcBorders>
              <w:top w:val="single" w:sz="4" w:space="0" w:color="95B3D7"/>
              <w:left w:val="nil"/>
              <w:bottom w:val="single" w:sz="4" w:space="0" w:color="95B3D7"/>
              <w:right w:val="nil"/>
            </w:tcBorders>
            <w:shd w:val="clear" w:color="auto" w:fill="auto"/>
            <w:noWrap/>
            <w:vAlign w:val="bottom"/>
            <w:hideMark/>
          </w:tcPr>
          <w:p w14:paraId="6F14299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83,76</w:t>
            </w:r>
          </w:p>
        </w:tc>
      </w:tr>
      <w:tr w:rsidR="001738AF" w:rsidRPr="001738AF" w14:paraId="23A94E00" w14:textId="77777777" w:rsidTr="001738AF">
        <w:trPr>
          <w:trHeight w:val="300"/>
        </w:trPr>
        <w:tc>
          <w:tcPr>
            <w:tcW w:w="2179" w:type="pct"/>
            <w:tcBorders>
              <w:top w:val="nil"/>
              <w:left w:val="nil"/>
              <w:bottom w:val="nil"/>
              <w:right w:val="nil"/>
            </w:tcBorders>
            <w:shd w:val="clear" w:color="auto" w:fill="auto"/>
            <w:vAlign w:val="bottom"/>
            <w:hideMark/>
          </w:tcPr>
          <w:p w14:paraId="4A00A06B"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3294 Članarine i norme</w:t>
            </w:r>
          </w:p>
        </w:tc>
        <w:tc>
          <w:tcPr>
            <w:tcW w:w="492" w:type="pct"/>
            <w:tcBorders>
              <w:top w:val="nil"/>
              <w:left w:val="single" w:sz="4" w:space="0" w:color="95B3D7"/>
              <w:bottom w:val="nil"/>
              <w:right w:val="single" w:sz="4" w:space="0" w:color="95B3D7"/>
            </w:tcBorders>
            <w:shd w:val="clear" w:color="auto" w:fill="auto"/>
            <w:noWrap/>
            <w:vAlign w:val="bottom"/>
            <w:hideMark/>
          </w:tcPr>
          <w:p w14:paraId="1517133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2.528,67</w:t>
            </w:r>
          </w:p>
        </w:tc>
        <w:tc>
          <w:tcPr>
            <w:tcW w:w="492" w:type="pct"/>
            <w:tcBorders>
              <w:top w:val="nil"/>
              <w:left w:val="nil"/>
              <w:bottom w:val="nil"/>
              <w:right w:val="nil"/>
            </w:tcBorders>
            <w:shd w:val="clear" w:color="auto" w:fill="auto"/>
            <w:noWrap/>
            <w:vAlign w:val="bottom"/>
            <w:hideMark/>
          </w:tcPr>
          <w:p w14:paraId="3148355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2.655</w:t>
            </w:r>
          </w:p>
        </w:tc>
        <w:tc>
          <w:tcPr>
            <w:tcW w:w="492" w:type="pct"/>
            <w:tcBorders>
              <w:top w:val="nil"/>
              <w:left w:val="single" w:sz="4" w:space="0" w:color="95B3D7"/>
              <w:bottom w:val="nil"/>
              <w:right w:val="single" w:sz="4" w:space="0" w:color="95B3D7"/>
            </w:tcBorders>
            <w:shd w:val="clear" w:color="auto" w:fill="auto"/>
            <w:noWrap/>
            <w:vAlign w:val="bottom"/>
            <w:hideMark/>
          </w:tcPr>
          <w:p w14:paraId="3A330BB8"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2.655</w:t>
            </w:r>
          </w:p>
        </w:tc>
        <w:tc>
          <w:tcPr>
            <w:tcW w:w="492" w:type="pct"/>
            <w:tcBorders>
              <w:top w:val="nil"/>
              <w:left w:val="nil"/>
              <w:bottom w:val="nil"/>
              <w:right w:val="nil"/>
            </w:tcBorders>
            <w:shd w:val="clear" w:color="auto" w:fill="auto"/>
            <w:noWrap/>
            <w:vAlign w:val="bottom"/>
            <w:hideMark/>
          </w:tcPr>
          <w:p w14:paraId="535565C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2.791,73</w:t>
            </w:r>
          </w:p>
        </w:tc>
        <w:tc>
          <w:tcPr>
            <w:tcW w:w="403" w:type="pct"/>
            <w:tcBorders>
              <w:top w:val="nil"/>
              <w:left w:val="single" w:sz="4" w:space="0" w:color="95B3D7"/>
              <w:bottom w:val="nil"/>
              <w:right w:val="single" w:sz="4" w:space="0" w:color="95B3D7"/>
            </w:tcBorders>
            <w:shd w:val="clear" w:color="auto" w:fill="auto"/>
            <w:noWrap/>
            <w:vAlign w:val="bottom"/>
            <w:hideMark/>
          </w:tcPr>
          <w:p w14:paraId="0E2DD47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110,40</w:t>
            </w:r>
          </w:p>
        </w:tc>
        <w:tc>
          <w:tcPr>
            <w:tcW w:w="451" w:type="pct"/>
            <w:tcBorders>
              <w:top w:val="nil"/>
              <w:left w:val="nil"/>
              <w:bottom w:val="nil"/>
              <w:right w:val="nil"/>
            </w:tcBorders>
            <w:shd w:val="clear" w:color="auto" w:fill="auto"/>
            <w:noWrap/>
            <w:vAlign w:val="bottom"/>
            <w:hideMark/>
          </w:tcPr>
          <w:p w14:paraId="0F3C9EE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105,15</w:t>
            </w:r>
          </w:p>
        </w:tc>
      </w:tr>
      <w:tr w:rsidR="001738AF" w:rsidRPr="001738AF" w14:paraId="7C649893"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31222B6B"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3295 Pristojbe i naknade</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6E8846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8.056,59</w:t>
            </w:r>
          </w:p>
        </w:tc>
        <w:tc>
          <w:tcPr>
            <w:tcW w:w="492" w:type="pct"/>
            <w:tcBorders>
              <w:top w:val="single" w:sz="4" w:space="0" w:color="95B3D7"/>
              <w:left w:val="nil"/>
              <w:bottom w:val="single" w:sz="4" w:space="0" w:color="95B3D7"/>
              <w:right w:val="nil"/>
            </w:tcBorders>
            <w:shd w:val="clear" w:color="auto" w:fill="auto"/>
            <w:noWrap/>
            <w:vAlign w:val="bottom"/>
            <w:hideMark/>
          </w:tcPr>
          <w:p w14:paraId="212C702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12.376</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0D6A6D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12.376</w:t>
            </w:r>
          </w:p>
        </w:tc>
        <w:tc>
          <w:tcPr>
            <w:tcW w:w="492" w:type="pct"/>
            <w:tcBorders>
              <w:top w:val="single" w:sz="4" w:space="0" w:color="95B3D7"/>
              <w:left w:val="nil"/>
              <w:bottom w:val="single" w:sz="4" w:space="0" w:color="95B3D7"/>
              <w:right w:val="nil"/>
            </w:tcBorders>
            <w:shd w:val="clear" w:color="auto" w:fill="auto"/>
            <w:noWrap/>
            <w:vAlign w:val="bottom"/>
            <w:hideMark/>
          </w:tcPr>
          <w:p w14:paraId="05CB3B7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10.419,08</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0B4B79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129,32</w:t>
            </w:r>
          </w:p>
        </w:tc>
        <w:tc>
          <w:tcPr>
            <w:tcW w:w="451" w:type="pct"/>
            <w:tcBorders>
              <w:top w:val="single" w:sz="4" w:space="0" w:color="95B3D7"/>
              <w:left w:val="nil"/>
              <w:bottom w:val="single" w:sz="4" w:space="0" w:color="95B3D7"/>
              <w:right w:val="nil"/>
            </w:tcBorders>
            <w:shd w:val="clear" w:color="auto" w:fill="auto"/>
            <w:noWrap/>
            <w:vAlign w:val="bottom"/>
            <w:hideMark/>
          </w:tcPr>
          <w:p w14:paraId="0FF31B2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84,19</w:t>
            </w:r>
          </w:p>
        </w:tc>
      </w:tr>
      <w:tr w:rsidR="001738AF" w:rsidRPr="001738AF" w14:paraId="54E1F5E5" w14:textId="77777777" w:rsidTr="001738AF">
        <w:trPr>
          <w:trHeight w:val="300"/>
        </w:trPr>
        <w:tc>
          <w:tcPr>
            <w:tcW w:w="2179" w:type="pct"/>
            <w:tcBorders>
              <w:top w:val="nil"/>
              <w:left w:val="nil"/>
              <w:bottom w:val="nil"/>
              <w:right w:val="nil"/>
            </w:tcBorders>
            <w:shd w:val="clear" w:color="auto" w:fill="auto"/>
            <w:vAlign w:val="bottom"/>
            <w:hideMark/>
          </w:tcPr>
          <w:p w14:paraId="3A3E4C91"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3299 Ostali nespomenuti rashodi poslovanja</w:t>
            </w:r>
          </w:p>
        </w:tc>
        <w:tc>
          <w:tcPr>
            <w:tcW w:w="492" w:type="pct"/>
            <w:tcBorders>
              <w:top w:val="nil"/>
              <w:left w:val="single" w:sz="4" w:space="0" w:color="95B3D7"/>
              <w:bottom w:val="nil"/>
              <w:right w:val="single" w:sz="4" w:space="0" w:color="95B3D7"/>
            </w:tcBorders>
            <w:shd w:val="clear" w:color="auto" w:fill="auto"/>
            <w:noWrap/>
            <w:vAlign w:val="bottom"/>
            <w:hideMark/>
          </w:tcPr>
          <w:p w14:paraId="030C389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7.916,76</w:t>
            </w:r>
          </w:p>
        </w:tc>
        <w:tc>
          <w:tcPr>
            <w:tcW w:w="492" w:type="pct"/>
            <w:tcBorders>
              <w:top w:val="nil"/>
              <w:left w:val="nil"/>
              <w:bottom w:val="nil"/>
              <w:right w:val="nil"/>
            </w:tcBorders>
            <w:shd w:val="clear" w:color="auto" w:fill="auto"/>
            <w:noWrap/>
            <w:vAlign w:val="bottom"/>
            <w:hideMark/>
          </w:tcPr>
          <w:p w14:paraId="06E47BA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9.963</w:t>
            </w:r>
          </w:p>
        </w:tc>
        <w:tc>
          <w:tcPr>
            <w:tcW w:w="492" w:type="pct"/>
            <w:tcBorders>
              <w:top w:val="nil"/>
              <w:left w:val="single" w:sz="4" w:space="0" w:color="95B3D7"/>
              <w:bottom w:val="nil"/>
              <w:right w:val="single" w:sz="4" w:space="0" w:color="95B3D7"/>
            </w:tcBorders>
            <w:shd w:val="clear" w:color="auto" w:fill="auto"/>
            <w:noWrap/>
            <w:vAlign w:val="bottom"/>
            <w:hideMark/>
          </w:tcPr>
          <w:p w14:paraId="0668C4B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9.963</w:t>
            </w:r>
          </w:p>
        </w:tc>
        <w:tc>
          <w:tcPr>
            <w:tcW w:w="492" w:type="pct"/>
            <w:tcBorders>
              <w:top w:val="nil"/>
              <w:left w:val="nil"/>
              <w:bottom w:val="nil"/>
              <w:right w:val="nil"/>
            </w:tcBorders>
            <w:shd w:val="clear" w:color="auto" w:fill="auto"/>
            <w:noWrap/>
            <w:vAlign w:val="bottom"/>
            <w:hideMark/>
          </w:tcPr>
          <w:p w14:paraId="7C4F3B1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9.147,97</w:t>
            </w:r>
          </w:p>
        </w:tc>
        <w:tc>
          <w:tcPr>
            <w:tcW w:w="403" w:type="pct"/>
            <w:tcBorders>
              <w:top w:val="nil"/>
              <w:left w:val="single" w:sz="4" w:space="0" w:color="95B3D7"/>
              <w:bottom w:val="nil"/>
              <w:right w:val="single" w:sz="4" w:space="0" w:color="95B3D7"/>
            </w:tcBorders>
            <w:shd w:val="clear" w:color="auto" w:fill="auto"/>
            <w:noWrap/>
            <w:vAlign w:val="bottom"/>
            <w:hideMark/>
          </w:tcPr>
          <w:p w14:paraId="0699FEA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115,55</w:t>
            </w:r>
          </w:p>
        </w:tc>
        <w:tc>
          <w:tcPr>
            <w:tcW w:w="451" w:type="pct"/>
            <w:tcBorders>
              <w:top w:val="nil"/>
              <w:left w:val="nil"/>
              <w:bottom w:val="nil"/>
              <w:right w:val="nil"/>
            </w:tcBorders>
            <w:shd w:val="clear" w:color="auto" w:fill="auto"/>
            <w:noWrap/>
            <w:vAlign w:val="bottom"/>
            <w:hideMark/>
          </w:tcPr>
          <w:p w14:paraId="5CCA386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91,82</w:t>
            </w:r>
          </w:p>
        </w:tc>
      </w:tr>
      <w:tr w:rsidR="001738AF" w:rsidRPr="001738AF" w14:paraId="01777931" w14:textId="77777777" w:rsidTr="001738AF">
        <w:trPr>
          <w:trHeight w:val="300"/>
        </w:trPr>
        <w:tc>
          <w:tcPr>
            <w:tcW w:w="2179" w:type="pct"/>
            <w:tcBorders>
              <w:top w:val="single" w:sz="4" w:space="0" w:color="95B3D7"/>
              <w:left w:val="nil"/>
              <w:bottom w:val="single" w:sz="4" w:space="0" w:color="95B3D7"/>
              <w:right w:val="nil"/>
            </w:tcBorders>
            <w:shd w:val="clear" w:color="000000" w:fill="DCE6F1"/>
            <w:noWrap/>
            <w:vAlign w:val="bottom"/>
            <w:hideMark/>
          </w:tcPr>
          <w:p w14:paraId="7BA33A6A"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34 Financijski rashodi</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004E7B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591,06</w:t>
            </w:r>
          </w:p>
        </w:tc>
        <w:tc>
          <w:tcPr>
            <w:tcW w:w="492" w:type="pct"/>
            <w:tcBorders>
              <w:top w:val="single" w:sz="4" w:space="0" w:color="95B3D7"/>
              <w:left w:val="nil"/>
              <w:bottom w:val="single" w:sz="4" w:space="0" w:color="95B3D7"/>
              <w:right w:val="nil"/>
            </w:tcBorders>
            <w:shd w:val="clear" w:color="000000" w:fill="DCE6F1"/>
            <w:noWrap/>
            <w:vAlign w:val="bottom"/>
            <w:hideMark/>
          </w:tcPr>
          <w:p w14:paraId="173B725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14.412</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E9D3E6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14.412</w:t>
            </w:r>
          </w:p>
        </w:tc>
        <w:tc>
          <w:tcPr>
            <w:tcW w:w="492" w:type="pct"/>
            <w:tcBorders>
              <w:top w:val="single" w:sz="4" w:space="0" w:color="95B3D7"/>
              <w:left w:val="nil"/>
              <w:bottom w:val="single" w:sz="4" w:space="0" w:color="95B3D7"/>
              <w:right w:val="nil"/>
            </w:tcBorders>
            <w:shd w:val="clear" w:color="000000" w:fill="DCE6F1"/>
            <w:noWrap/>
            <w:vAlign w:val="bottom"/>
            <w:hideMark/>
          </w:tcPr>
          <w:p w14:paraId="5170D3D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10.820,16</w:t>
            </w:r>
          </w:p>
        </w:tc>
        <w:tc>
          <w:tcPr>
            <w:tcW w:w="403"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707C66D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1.830,64</w:t>
            </w:r>
          </w:p>
        </w:tc>
        <w:tc>
          <w:tcPr>
            <w:tcW w:w="451" w:type="pct"/>
            <w:tcBorders>
              <w:top w:val="single" w:sz="4" w:space="0" w:color="95B3D7"/>
              <w:left w:val="nil"/>
              <w:bottom w:val="single" w:sz="4" w:space="0" w:color="95B3D7"/>
              <w:right w:val="nil"/>
            </w:tcBorders>
            <w:shd w:val="clear" w:color="000000" w:fill="DCE6F1"/>
            <w:noWrap/>
            <w:vAlign w:val="bottom"/>
            <w:hideMark/>
          </w:tcPr>
          <w:p w14:paraId="6F82A16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75,08</w:t>
            </w:r>
          </w:p>
        </w:tc>
      </w:tr>
      <w:tr w:rsidR="001738AF" w:rsidRPr="001738AF" w14:paraId="4EB462C1" w14:textId="77777777" w:rsidTr="001738AF">
        <w:trPr>
          <w:trHeight w:val="300"/>
        </w:trPr>
        <w:tc>
          <w:tcPr>
            <w:tcW w:w="2179" w:type="pct"/>
            <w:tcBorders>
              <w:top w:val="nil"/>
              <w:left w:val="nil"/>
              <w:bottom w:val="nil"/>
              <w:right w:val="nil"/>
            </w:tcBorders>
            <w:shd w:val="clear" w:color="auto" w:fill="auto"/>
            <w:vAlign w:val="bottom"/>
            <w:hideMark/>
          </w:tcPr>
          <w:p w14:paraId="5F70EEE4"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342 Kamate za primljene kredite i zajmove</w:t>
            </w:r>
          </w:p>
        </w:tc>
        <w:tc>
          <w:tcPr>
            <w:tcW w:w="492" w:type="pct"/>
            <w:tcBorders>
              <w:top w:val="nil"/>
              <w:left w:val="single" w:sz="4" w:space="0" w:color="95B3D7"/>
              <w:bottom w:val="nil"/>
              <w:right w:val="single" w:sz="4" w:space="0" w:color="95B3D7"/>
            </w:tcBorders>
            <w:shd w:val="clear" w:color="auto" w:fill="auto"/>
            <w:noWrap/>
            <w:vAlign w:val="bottom"/>
            <w:hideMark/>
          </w:tcPr>
          <w:p w14:paraId="0A89937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591,06</w:t>
            </w:r>
          </w:p>
        </w:tc>
        <w:tc>
          <w:tcPr>
            <w:tcW w:w="492" w:type="pct"/>
            <w:tcBorders>
              <w:top w:val="nil"/>
              <w:left w:val="nil"/>
              <w:bottom w:val="nil"/>
              <w:right w:val="nil"/>
            </w:tcBorders>
            <w:shd w:val="clear" w:color="auto" w:fill="auto"/>
            <w:noWrap/>
            <w:vAlign w:val="bottom"/>
            <w:hideMark/>
          </w:tcPr>
          <w:p w14:paraId="5AEB447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14.412</w:t>
            </w:r>
          </w:p>
        </w:tc>
        <w:tc>
          <w:tcPr>
            <w:tcW w:w="492" w:type="pct"/>
            <w:tcBorders>
              <w:top w:val="nil"/>
              <w:left w:val="single" w:sz="4" w:space="0" w:color="95B3D7"/>
              <w:bottom w:val="nil"/>
              <w:right w:val="single" w:sz="4" w:space="0" w:color="95B3D7"/>
            </w:tcBorders>
            <w:shd w:val="clear" w:color="auto" w:fill="auto"/>
            <w:noWrap/>
            <w:vAlign w:val="bottom"/>
            <w:hideMark/>
          </w:tcPr>
          <w:p w14:paraId="0EADD22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14.412</w:t>
            </w:r>
          </w:p>
        </w:tc>
        <w:tc>
          <w:tcPr>
            <w:tcW w:w="492" w:type="pct"/>
            <w:tcBorders>
              <w:top w:val="nil"/>
              <w:left w:val="nil"/>
              <w:bottom w:val="nil"/>
              <w:right w:val="nil"/>
            </w:tcBorders>
            <w:shd w:val="clear" w:color="auto" w:fill="auto"/>
            <w:noWrap/>
            <w:vAlign w:val="bottom"/>
            <w:hideMark/>
          </w:tcPr>
          <w:p w14:paraId="3D64355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10.820,16</w:t>
            </w:r>
          </w:p>
        </w:tc>
        <w:tc>
          <w:tcPr>
            <w:tcW w:w="403" w:type="pct"/>
            <w:tcBorders>
              <w:top w:val="nil"/>
              <w:left w:val="single" w:sz="4" w:space="0" w:color="95B3D7"/>
              <w:bottom w:val="nil"/>
              <w:right w:val="single" w:sz="4" w:space="0" w:color="95B3D7"/>
            </w:tcBorders>
            <w:shd w:val="clear" w:color="auto" w:fill="auto"/>
            <w:noWrap/>
            <w:vAlign w:val="bottom"/>
            <w:hideMark/>
          </w:tcPr>
          <w:p w14:paraId="485EA77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1.830,64</w:t>
            </w:r>
          </w:p>
        </w:tc>
        <w:tc>
          <w:tcPr>
            <w:tcW w:w="451" w:type="pct"/>
            <w:tcBorders>
              <w:top w:val="nil"/>
              <w:left w:val="nil"/>
              <w:bottom w:val="nil"/>
              <w:right w:val="nil"/>
            </w:tcBorders>
            <w:shd w:val="clear" w:color="auto" w:fill="auto"/>
            <w:noWrap/>
            <w:vAlign w:val="bottom"/>
            <w:hideMark/>
          </w:tcPr>
          <w:p w14:paraId="724B52C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75,08</w:t>
            </w:r>
          </w:p>
        </w:tc>
      </w:tr>
      <w:tr w:rsidR="001738AF" w:rsidRPr="001738AF" w14:paraId="5D713246" w14:textId="77777777" w:rsidTr="001738AF">
        <w:trPr>
          <w:trHeight w:val="495"/>
        </w:trPr>
        <w:tc>
          <w:tcPr>
            <w:tcW w:w="2179" w:type="pct"/>
            <w:tcBorders>
              <w:top w:val="single" w:sz="4" w:space="0" w:color="95B3D7"/>
              <w:left w:val="nil"/>
              <w:bottom w:val="single" w:sz="4" w:space="0" w:color="95B3D7"/>
              <w:right w:val="nil"/>
            </w:tcBorders>
            <w:shd w:val="clear" w:color="auto" w:fill="auto"/>
            <w:vAlign w:val="bottom"/>
            <w:hideMark/>
          </w:tcPr>
          <w:p w14:paraId="4021A703" w14:textId="77777777" w:rsid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 xml:space="preserve">3423 Kamate za primljene kredite i zajmove od kreditnih i ostalih </w:t>
            </w:r>
          </w:p>
          <w:p w14:paraId="793D6FAF" w14:textId="7CC58238"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institucija izvan javnog sektora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4F28A2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591,06</w:t>
            </w:r>
          </w:p>
        </w:tc>
        <w:tc>
          <w:tcPr>
            <w:tcW w:w="492" w:type="pct"/>
            <w:tcBorders>
              <w:top w:val="single" w:sz="4" w:space="0" w:color="95B3D7"/>
              <w:left w:val="nil"/>
              <w:bottom w:val="single" w:sz="4" w:space="0" w:color="95B3D7"/>
              <w:right w:val="nil"/>
            </w:tcBorders>
            <w:shd w:val="clear" w:color="auto" w:fill="auto"/>
            <w:noWrap/>
            <w:vAlign w:val="bottom"/>
            <w:hideMark/>
          </w:tcPr>
          <w:p w14:paraId="27AAE47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14.412</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20C85F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14.412</w:t>
            </w:r>
          </w:p>
        </w:tc>
        <w:tc>
          <w:tcPr>
            <w:tcW w:w="492" w:type="pct"/>
            <w:tcBorders>
              <w:top w:val="single" w:sz="4" w:space="0" w:color="95B3D7"/>
              <w:left w:val="nil"/>
              <w:bottom w:val="single" w:sz="4" w:space="0" w:color="95B3D7"/>
              <w:right w:val="nil"/>
            </w:tcBorders>
            <w:shd w:val="clear" w:color="auto" w:fill="auto"/>
            <w:noWrap/>
            <w:vAlign w:val="bottom"/>
            <w:hideMark/>
          </w:tcPr>
          <w:p w14:paraId="157B7C6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10.820,16</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D5FDC4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1.830,64</w:t>
            </w:r>
          </w:p>
        </w:tc>
        <w:tc>
          <w:tcPr>
            <w:tcW w:w="451" w:type="pct"/>
            <w:tcBorders>
              <w:top w:val="single" w:sz="4" w:space="0" w:color="95B3D7"/>
              <w:left w:val="nil"/>
              <w:bottom w:val="single" w:sz="4" w:space="0" w:color="95B3D7"/>
              <w:right w:val="nil"/>
            </w:tcBorders>
            <w:shd w:val="clear" w:color="auto" w:fill="auto"/>
            <w:noWrap/>
            <w:vAlign w:val="bottom"/>
            <w:hideMark/>
          </w:tcPr>
          <w:p w14:paraId="2191478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75,08</w:t>
            </w:r>
          </w:p>
        </w:tc>
      </w:tr>
      <w:tr w:rsidR="001738AF" w:rsidRPr="001738AF" w14:paraId="7A5567FC" w14:textId="77777777" w:rsidTr="001738AF">
        <w:trPr>
          <w:trHeight w:val="300"/>
        </w:trPr>
        <w:tc>
          <w:tcPr>
            <w:tcW w:w="2179" w:type="pct"/>
            <w:tcBorders>
              <w:top w:val="nil"/>
              <w:left w:val="nil"/>
              <w:bottom w:val="nil"/>
              <w:right w:val="nil"/>
            </w:tcBorders>
            <w:shd w:val="clear" w:color="000000" w:fill="DCE6F1"/>
            <w:noWrap/>
            <w:vAlign w:val="bottom"/>
            <w:hideMark/>
          </w:tcPr>
          <w:p w14:paraId="5AA27E6C"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37 Naknade građanima i kućanstvima na temelju osiguranja i druge naknade</w:t>
            </w:r>
          </w:p>
        </w:tc>
        <w:tc>
          <w:tcPr>
            <w:tcW w:w="492" w:type="pct"/>
            <w:tcBorders>
              <w:top w:val="nil"/>
              <w:left w:val="single" w:sz="4" w:space="0" w:color="95B3D7"/>
              <w:bottom w:val="nil"/>
              <w:right w:val="single" w:sz="4" w:space="0" w:color="95B3D7"/>
            </w:tcBorders>
            <w:shd w:val="clear" w:color="000000" w:fill="DCE6F1"/>
            <w:noWrap/>
            <w:vAlign w:val="bottom"/>
            <w:hideMark/>
          </w:tcPr>
          <w:p w14:paraId="26D8CAA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3.102,40</w:t>
            </w:r>
          </w:p>
        </w:tc>
        <w:tc>
          <w:tcPr>
            <w:tcW w:w="492" w:type="pct"/>
            <w:tcBorders>
              <w:top w:val="nil"/>
              <w:left w:val="nil"/>
              <w:bottom w:val="nil"/>
              <w:right w:val="nil"/>
            </w:tcBorders>
            <w:shd w:val="clear" w:color="000000" w:fill="DCE6F1"/>
            <w:noWrap/>
            <w:vAlign w:val="bottom"/>
            <w:hideMark/>
          </w:tcPr>
          <w:p w14:paraId="65E3453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10.618</w:t>
            </w:r>
          </w:p>
        </w:tc>
        <w:tc>
          <w:tcPr>
            <w:tcW w:w="492" w:type="pct"/>
            <w:tcBorders>
              <w:top w:val="nil"/>
              <w:left w:val="single" w:sz="4" w:space="0" w:color="95B3D7"/>
              <w:bottom w:val="nil"/>
              <w:right w:val="single" w:sz="4" w:space="0" w:color="95B3D7"/>
            </w:tcBorders>
            <w:shd w:val="clear" w:color="000000" w:fill="DCE6F1"/>
            <w:noWrap/>
            <w:vAlign w:val="bottom"/>
            <w:hideMark/>
          </w:tcPr>
          <w:p w14:paraId="5AE2C23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10.618</w:t>
            </w:r>
          </w:p>
        </w:tc>
        <w:tc>
          <w:tcPr>
            <w:tcW w:w="492" w:type="pct"/>
            <w:tcBorders>
              <w:top w:val="nil"/>
              <w:left w:val="nil"/>
              <w:bottom w:val="nil"/>
              <w:right w:val="nil"/>
            </w:tcBorders>
            <w:shd w:val="clear" w:color="000000" w:fill="DCE6F1"/>
            <w:noWrap/>
            <w:vAlign w:val="bottom"/>
            <w:hideMark/>
          </w:tcPr>
          <w:p w14:paraId="4842A30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2.389,01</w:t>
            </w:r>
          </w:p>
        </w:tc>
        <w:tc>
          <w:tcPr>
            <w:tcW w:w="403" w:type="pct"/>
            <w:tcBorders>
              <w:top w:val="nil"/>
              <w:left w:val="single" w:sz="4" w:space="0" w:color="95B3D7"/>
              <w:bottom w:val="nil"/>
              <w:right w:val="single" w:sz="4" w:space="0" w:color="95B3D7"/>
            </w:tcBorders>
            <w:shd w:val="clear" w:color="000000" w:fill="DCE6F1"/>
            <w:noWrap/>
            <w:vAlign w:val="bottom"/>
            <w:hideMark/>
          </w:tcPr>
          <w:p w14:paraId="3F745F7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77,01</w:t>
            </w:r>
          </w:p>
        </w:tc>
        <w:tc>
          <w:tcPr>
            <w:tcW w:w="451" w:type="pct"/>
            <w:tcBorders>
              <w:top w:val="nil"/>
              <w:left w:val="nil"/>
              <w:bottom w:val="nil"/>
              <w:right w:val="nil"/>
            </w:tcBorders>
            <w:shd w:val="clear" w:color="000000" w:fill="DCE6F1"/>
            <w:noWrap/>
            <w:vAlign w:val="bottom"/>
            <w:hideMark/>
          </w:tcPr>
          <w:p w14:paraId="6E7E321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22,50</w:t>
            </w:r>
          </w:p>
        </w:tc>
      </w:tr>
      <w:tr w:rsidR="001738AF" w:rsidRPr="001738AF" w14:paraId="7FBFC833"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39832CA7"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372 Ostale naknade građanima i kućanstvima iz proračuna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854D11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3.102,40</w:t>
            </w:r>
          </w:p>
        </w:tc>
        <w:tc>
          <w:tcPr>
            <w:tcW w:w="492" w:type="pct"/>
            <w:tcBorders>
              <w:top w:val="single" w:sz="4" w:space="0" w:color="95B3D7"/>
              <w:left w:val="nil"/>
              <w:bottom w:val="single" w:sz="4" w:space="0" w:color="95B3D7"/>
              <w:right w:val="nil"/>
            </w:tcBorders>
            <w:shd w:val="clear" w:color="auto" w:fill="auto"/>
            <w:noWrap/>
            <w:vAlign w:val="bottom"/>
            <w:hideMark/>
          </w:tcPr>
          <w:p w14:paraId="68E74C8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10.618</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C70C9B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10.618</w:t>
            </w:r>
          </w:p>
        </w:tc>
        <w:tc>
          <w:tcPr>
            <w:tcW w:w="492" w:type="pct"/>
            <w:tcBorders>
              <w:top w:val="single" w:sz="4" w:space="0" w:color="95B3D7"/>
              <w:left w:val="nil"/>
              <w:bottom w:val="single" w:sz="4" w:space="0" w:color="95B3D7"/>
              <w:right w:val="nil"/>
            </w:tcBorders>
            <w:shd w:val="clear" w:color="auto" w:fill="auto"/>
            <w:noWrap/>
            <w:vAlign w:val="bottom"/>
            <w:hideMark/>
          </w:tcPr>
          <w:p w14:paraId="5DF73B0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2.389,01</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0A1968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77,01</w:t>
            </w:r>
          </w:p>
        </w:tc>
        <w:tc>
          <w:tcPr>
            <w:tcW w:w="451" w:type="pct"/>
            <w:tcBorders>
              <w:top w:val="single" w:sz="4" w:space="0" w:color="95B3D7"/>
              <w:left w:val="nil"/>
              <w:bottom w:val="single" w:sz="4" w:space="0" w:color="95B3D7"/>
              <w:right w:val="nil"/>
            </w:tcBorders>
            <w:shd w:val="clear" w:color="auto" w:fill="auto"/>
            <w:noWrap/>
            <w:vAlign w:val="bottom"/>
            <w:hideMark/>
          </w:tcPr>
          <w:p w14:paraId="021877F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22,50</w:t>
            </w:r>
          </w:p>
        </w:tc>
      </w:tr>
      <w:tr w:rsidR="001738AF" w:rsidRPr="001738AF" w14:paraId="2AABF0E9" w14:textId="77777777" w:rsidTr="001738AF">
        <w:trPr>
          <w:trHeight w:val="300"/>
        </w:trPr>
        <w:tc>
          <w:tcPr>
            <w:tcW w:w="2179" w:type="pct"/>
            <w:tcBorders>
              <w:top w:val="nil"/>
              <w:left w:val="nil"/>
              <w:bottom w:val="nil"/>
              <w:right w:val="nil"/>
            </w:tcBorders>
            <w:shd w:val="clear" w:color="auto" w:fill="auto"/>
            <w:vAlign w:val="bottom"/>
            <w:hideMark/>
          </w:tcPr>
          <w:p w14:paraId="7B703B92"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3721 Naknade građanima i kućanstvima u novcu</w:t>
            </w:r>
          </w:p>
        </w:tc>
        <w:tc>
          <w:tcPr>
            <w:tcW w:w="492" w:type="pct"/>
            <w:tcBorders>
              <w:top w:val="nil"/>
              <w:left w:val="single" w:sz="4" w:space="0" w:color="95B3D7"/>
              <w:bottom w:val="nil"/>
              <w:right w:val="single" w:sz="4" w:space="0" w:color="95B3D7"/>
            </w:tcBorders>
            <w:shd w:val="clear" w:color="auto" w:fill="auto"/>
            <w:noWrap/>
            <w:vAlign w:val="bottom"/>
            <w:hideMark/>
          </w:tcPr>
          <w:p w14:paraId="1BAA484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3.102,40</w:t>
            </w:r>
          </w:p>
        </w:tc>
        <w:tc>
          <w:tcPr>
            <w:tcW w:w="492" w:type="pct"/>
            <w:tcBorders>
              <w:top w:val="nil"/>
              <w:left w:val="nil"/>
              <w:bottom w:val="nil"/>
              <w:right w:val="nil"/>
            </w:tcBorders>
            <w:shd w:val="clear" w:color="auto" w:fill="auto"/>
            <w:noWrap/>
            <w:vAlign w:val="bottom"/>
            <w:hideMark/>
          </w:tcPr>
          <w:p w14:paraId="6EA479F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10.618</w:t>
            </w:r>
          </w:p>
        </w:tc>
        <w:tc>
          <w:tcPr>
            <w:tcW w:w="492" w:type="pct"/>
            <w:tcBorders>
              <w:top w:val="nil"/>
              <w:left w:val="single" w:sz="4" w:space="0" w:color="95B3D7"/>
              <w:bottom w:val="nil"/>
              <w:right w:val="single" w:sz="4" w:space="0" w:color="95B3D7"/>
            </w:tcBorders>
            <w:shd w:val="clear" w:color="auto" w:fill="auto"/>
            <w:noWrap/>
            <w:vAlign w:val="bottom"/>
            <w:hideMark/>
          </w:tcPr>
          <w:p w14:paraId="36E85B0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10.618</w:t>
            </w:r>
          </w:p>
        </w:tc>
        <w:tc>
          <w:tcPr>
            <w:tcW w:w="492" w:type="pct"/>
            <w:tcBorders>
              <w:top w:val="nil"/>
              <w:left w:val="nil"/>
              <w:bottom w:val="nil"/>
              <w:right w:val="nil"/>
            </w:tcBorders>
            <w:shd w:val="clear" w:color="auto" w:fill="auto"/>
            <w:noWrap/>
            <w:vAlign w:val="bottom"/>
            <w:hideMark/>
          </w:tcPr>
          <w:p w14:paraId="0AF8713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2.389,01</w:t>
            </w:r>
          </w:p>
        </w:tc>
        <w:tc>
          <w:tcPr>
            <w:tcW w:w="403" w:type="pct"/>
            <w:tcBorders>
              <w:top w:val="nil"/>
              <w:left w:val="single" w:sz="4" w:space="0" w:color="95B3D7"/>
              <w:bottom w:val="nil"/>
              <w:right w:val="single" w:sz="4" w:space="0" w:color="95B3D7"/>
            </w:tcBorders>
            <w:shd w:val="clear" w:color="auto" w:fill="auto"/>
            <w:noWrap/>
            <w:vAlign w:val="bottom"/>
            <w:hideMark/>
          </w:tcPr>
          <w:p w14:paraId="781BE66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77,01</w:t>
            </w:r>
          </w:p>
        </w:tc>
        <w:tc>
          <w:tcPr>
            <w:tcW w:w="451" w:type="pct"/>
            <w:tcBorders>
              <w:top w:val="nil"/>
              <w:left w:val="nil"/>
              <w:bottom w:val="nil"/>
              <w:right w:val="nil"/>
            </w:tcBorders>
            <w:shd w:val="clear" w:color="auto" w:fill="auto"/>
            <w:noWrap/>
            <w:vAlign w:val="bottom"/>
            <w:hideMark/>
          </w:tcPr>
          <w:p w14:paraId="6162E9B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22,50</w:t>
            </w:r>
          </w:p>
        </w:tc>
      </w:tr>
      <w:tr w:rsidR="001738AF" w:rsidRPr="001738AF" w14:paraId="1A90BED4" w14:textId="77777777" w:rsidTr="001738AF">
        <w:trPr>
          <w:trHeight w:val="300"/>
        </w:trPr>
        <w:tc>
          <w:tcPr>
            <w:tcW w:w="2179" w:type="pct"/>
            <w:tcBorders>
              <w:top w:val="single" w:sz="4" w:space="0" w:color="95B3D7"/>
              <w:left w:val="nil"/>
              <w:bottom w:val="single" w:sz="4" w:space="0" w:color="95B3D7"/>
              <w:right w:val="nil"/>
            </w:tcBorders>
            <w:shd w:val="clear" w:color="000000" w:fill="B8CCE4"/>
            <w:noWrap/>
            <w:vAlign w:val="bottom"/>
            <w:hideMark/>
          </w:tcPr>
          <w:p w14:paraId="2145EAAC" w14:textId="77777777" w:rsidR="001738AF" w:rsidRPr="001738AF" w:rsidRDefault="001738AF" w:rsidP="001738AF">
            <w:pPr>
              <w:widowControl/>
              <w:autoSpaceDE/>
              <w:autoSpaceDN/>
              <w:adjustRightInd/>
              <w:ind w:firstLineChars="100" w:firstLine="180"/>
              <w:jc w:val="left"/>
              <w:rPr>
                <w:rFonts w:ascii="Calibri" w:hAnsi="Calibri" w:cs="Calibri"/>
                <w:b/>
                <w:bCs/>
                <w:color w:val="000000"/>
                <w:sz w:val="18"/>
                <w:szCs w:val="18"/>
              </w:rPr>
            </w:pPr>
            <w:r w:rsidRPr="001738AF">
              <w:rPr>
                <w:rFonts w:ascii="Calibri" w:hAnsi="Calibri" w:cs="Calibri"/>
                <w:b/>
                <w:bCs/>
                <w:color w:val="000000"/>
                <w:sz w:val="18"/>
                <w:szCs w:val="18"/>
              </w:rPr>
              <w:t>4 Rashodi za nabavu nefinancijske imovine</w:t>
            </w:r>
          </w:p>
        </w:tc>
        <w:tc>
          <w:tcPr>
            <w:tcW w:w="492" w:type="pct"/>
            <w:tcBorders>
              <w:top w:val="single" w:sz="4" w:space="0" w:color="95B3D7"/>
              <w:left w:val="single" w:sz="4" w:space="0" w:color="95B3D7"/>
              <w:bottom w:val="single" w:sz="4" w:space="0" w:color="95B3D7"/>
              <w:right w:val="single" w:sz="4" w:space="0" w:color="95B3D7"/>
            </w:tcBorders>
            <w:shd w:val="clear" w:color="000000" w:fill="B8CCE4"/>
            <w:noWrap/>
            <w:vAlign w:val="bottom"/>
            <w:hideMark/>
          </w:tcPr>
          <w:p w14:paraId="12487BA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1.196.292,72</w:t>
            </w:r>
          </w:p>
        </w:tc>
        <w:tc>
          <w:tcPr>
            <w:tcW w:w="492" w:type="pct"/>
            <w:tcBorders>
              <w:top w:val="single" w:sz="4" w:space="0" w:color="95B3D7"/>
              <w:left w:val="nil"/>
              <w:bottom w:val="single" w:sz="4" w:space="0" w:color="95B3D7"/>
              <w:right w:val="nil"/>
            </w:tcBorders>
            <w:shd w:val="clear" w:color="000000" w:fill="B8CCE4"/>
            <w:noWrap/>
            <w:vAlign w:val="bottom"/>
            <w:hideMark/>
          </w:tcPr>
          <w:p w14:paraId="01BCDE8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3.763.976</w:t>
            </w:r>
          </w:p>
        </w:tc>
        <w:tc>
          <w:tcPr>
            <w:tcW w:w="492" w:type="pct"/>
            <w:tcBorders>
              <w:top w:val="single" w:sz="4" w:space="0" w:color="95B3D7"/>
              <w:left w:val="single" w:sz="4" w:space="0" w:color="95B3D7"/>
              <w:bottom w:val="single" w:sz="4" w:space="0" w:color="95B3D7"/>
              <w:right w:val="single" w:sz="4" w:space="0" w:color="95B3D7"/>
            </w:tcBorders>
            <w:shd w:val="clear" w:color="000000" w:fill="B8CCE4"/>
            <w:noWrap/>
            <w:vAlign w:val="bottom"/>
            <w:hideMark/>
          </w:tcPr>
          <w:p w14:paraId="45B2D77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893.154</w:t>
            </w:r>
          </w:p>
        </w:tc>
        <w:tc>
          <w:tcPr>
            <w:tcW w:w="492" w:type="pct"/>
            <w:tcBorders>
              <w:top w:val="single" w:sz="4" w:space="0" w:color="95B3D7"/>
              <w:left w:val="nil"/>
              <w:bottom w:val="single" w:sz="4" w:space="0" w:color="95B3D7"/>
              <w:right w:val="nil"/>
            </w:tcBorders>
            <w:shd w:val="clear" w:color="000000" w:fill="B8CCE4"/>
            <w:noWrap/>
            <w:vAlign w:val="bottom"/>
            <w:hideMark/>
          </w:tcPr>
          <w:p w14:paraId="7900969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876.743,44</w:t>
            </w:r>
          </w:p>
        </w:tc>
        <w:tc>
          <w:tcPr>
            <w:tcW w:w="403" w:type="pct"/>
            <w:tcBorders>
              <w:top w:val="single" w:sz="4" w:space="0" w:color="95B3D7"/>
              <w:left w:val="single" w:sz="4" w:space="0" w:color="95B3D7"/>
              <w:bottom w:val="single" w:sz="4" w:space="0" w:color="95B3D7"/>
              <w:right w:val="single" w:sz="4" w:space="0" w:color="95B3D7"/>
            </w:tcBorders>
            <w:shd w:val="clear" w:color="000000" w:fill="B8CCE4"/>
            <w:noWrap/>
            <w:vAlign w:val="bottom"/>
            <w:hideMark/>
          </w:tcPr>
          <w:p w14:paraId="269E361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73,29</w:t>
            </w:r>
          </w:p>
        </w:tc>
        <w:tc>
          <w:tcPr>
            <w:tcW w:w="451" w:type="pct"/>
            <w:tcBorders>
              <w:top w:val="single" w:sz="4" w:space="0" w:color="95B3D7"/>
              <w:left w:val="nil"/>
              <w:bottom w:val="single" w:sz="4" w:space="0" w:color="95B3D7"/>
              <w:right w:val="nil"/>
            </w:tcBorders>
            <w:shd w:val="clear" w:color="000000" w:fill="B8CCE4"/>
            <w:noWrap/>
            <w:vAlign w:val="bottom"/>
            <w:hideMark/>
          </w:tcPr>
          <w:p w14:paraId="1E8CCC9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98,16</w:t>
            </w:r>
          </w:p>
        </w:tc>
      </w:tr>
      <w:tr w:rsidR="001738AF" w:rsidRPr="001738AF" w14:paraId="3F2C9AD3" w14:textId="77777777" w:rsidTr="001738AF">
        <w:trPr>
          <w:trHeight w:val="198"/>
        </w:trPr>
        <w:tc>
          <w:tcPr>
            <w:tcW w:w="2179" w:type="pct"/>
            <w:tcBorders>
              <w:top w:val="nil"/>
              <w:left w:val="nil"/>
              <w:bottom w:val="nil"/>
              <w:right w:val="nil"/>
            </w:tcBorders>
            <w:shd w:val="clear" w:color="000000" w:fill="DCE6F1"/>
            <w:noWrap/>
            <w:vAlign w:val="bottom"/>
            <w:hideMark/>
          </w:tcPr>
          <w:p w14:paraId="3DF590ED"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 xml:space="preserve">41 Rashodi za nabavu </w:t>
            </w:r>
            <w:proofErr w:type="spellStart"/>
            <w:r w:rsidRPr="001738AF">
              <w:rPr>
                <w:rFonts w:ascii="Calibri" w:hAnsi="Calibri" w:cs="Calibri"/>
                <w:b/>
                <w:bCs/>
                <w:color w:val="000000"/>
                <w:sz w:val="18"/>
                <w:szCs w:val="18"/>
              </w:rPr>
              <w:t>neproizvedene</w:t>
            </w:r>
            <w:proofErr w:type="spellEnd"/>
            <w:r w:rsidRPr="001738AF">
              <w:rPr>
                <w:rFonts w:ascii="Calibri" w:hAnsi="Calibri" w:cs="Calibri"/>
                <w:b/>
                <w:bCs/>
                <w:color w:val="000000"/>
                <w:sz w:val="18"/>
                <w:szCs w:val="18"/>
              </w:rPr>
              <w:t xml:space="preserve"> dugotrajne imovine</w:t>
            </w:r>
          </w:p>
        </w:tc>
        <w:tc>
          <w:tcPr>
            <w:tcW w:w="492" w:type="pct"/>
            <w:tcBorders>
              <w:top w:val="nil"/>
              <w:left w:val="single" w:sz="4" w:space="0" w:color="95B3D7"/>
              <w:bottom w:val="nil"/>
              <w:right w:val="single" w:sz="4" w:space="0" w:color="95B3D7"/>
            </w:tcBorders>
            <w:shd w:val="clear" w:color="000000" w:fill="DCE6F1"/>
            <w:noWrap/>
            <w:vAlign w:val="bottom"/>
            <w:hideMark/>
          </w:tcPr>
          <w:p w14:paraId="10C599A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5.474,82</w:t>
            </w:r>
          </w:p>
        </w:tc>
        <w:tc>
          <w:tcPr>
            <w:tcW w:w="492" w:type="pct"/>
            <w:tcBorders>
              <w:top w:val="nil"/>
              <w:left w:val="nil"/>
              <w:bottom w:val="nil"/>
              <w:right w:val="nil"/>
            </w:tcBorders>
            <w:shd w:val="clear" w:color="000000" w:fill="DCE6F1"/>
            <w:noWrap/>
            <w:vAlign w:val="bottom"/>
            <w:hideMark/>
          </w:tcPr>
          <w:p w14:paraId="07A3A4E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w:t>
            </w:r>
          </w:p>
        </w:tc>
        <w:tc>
          <w:tcPr>
            <w:tcW w:w="492" w:type="pct"/>
            <w:tcBorders>
              <w:top w:val="nil"/>
              <w:left w:val="single" w:sz="4" w:space="0" w:color="95B3D7"/>
              <w:bottom w:val="nil"/>
              <w:right w:val="single" w:sz="4" w:space="0" w:color="95B3D7"/>
            </w:tcBorders>
            <w:shd w:val="clear" w:color="000000" w:fill="DCE6F1"/>
            <w:noWrap/>
            <w:vAlign w:val="bottom"/>
            <w:hideMark/>
          </w:tcPr>
          <w:p w14:paraId="2BFA35F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w:t>
            </w:r>
          </w:p>
        </w:tc>
        <w:tc>
          <w:tcPr>
            <w:tcW w:w="492" w:type="pct"/>
            <w:tcBorders>
              <w:top w:val="nil"/>
              <w:left w:val="nil"/>
              <w:bottom w:val="nil"/>
              <w:right w:val="nil"/>
            </w:tcBorders>
            <w:shd w:val="clear" w:color="000000" w:fill="DCE6F1"/>
            <w:noWrap/>
            <w:vAlign w:val="bottom"/>
            <w:hideMark/>
          </w:tcPr>
          <w:p w14:paraId="38F43A5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550,00</w:t>
            </w:r>
          </w:p>
        </w:tc>
        <w:tc>
          <w:tcPr>
            <w:tcW w:w="403" w:type="pct"/>
            <w:tcBorders>
              <w:top w:val="nil"/>
              <w:left w:val="single" w:sz="4" w:space="0" w:color="95B3D7"/>
              <w:bottom w:val="nil"/>
              <w:right w:val="single" w:sz="4" w:space="0" w:color="95B3D7"/>
            </w:tcBorders>
            <w:shd w:val="clear" w:color="000000" w:fill="DCE6F1"/>
            <w:noWrap/>
            <w:vAlign w:val="bottom"/>
            <w:hideMark/>
          </w:tcPr>
          <w:p w14:paraId="0C6EE2A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10,05</w:t>
            </w:r>
          </w:p>
        </w:tc>
        <w:tc>
          <w:tcPr>
            <w:tcW w:w="451" w:type="pct"/>
            <w:tcBorders>
              <w:top w:val="nil"/>
              <w:left w:val="nil"/>
              <w:bottom w:val="nil"/>
              <w:right w:val="nil"/>
            </w:tcBorders>
            <w:shd w:val="clear" w:color="000000" w:fill="DCE6F1"/>
            <w:noWrap/>
            <w:vAlign w:val="bottom"/>
            <w:hideMark/>
          </w:tcPr>
          <w:p w14:paraId="14F9688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100,00</w:t>
            </w:r>
          </w:p>
        </w:tc>
      </w:tr>
      <w:tr w:rsidR="001738AF" w:rsidRPr="001738AF" w14:paraId="07FFF62D" w14:textId="77777777" w:rsidTr="001738AF">
        <w:trPr>
          <w:trHeight w:val="300"/>
        </w:trPr>
        <w:tc>
          <w:tcPr>
            <w:tcW w:w="2179" w:type="pct"/>
            <w:tcBorders>
              <w:top w:val="single" w:sz="4" w:space="0" w:color="95B3D7"/>
              <w:left w:val="nil"/>
              <w:bottom w:val="single" w:sz="4" w:space="0" w:color="95B3D7"/>
              <w:right w:val="nil"/>
            </w:tcBorders>
            <w:shd w:val="clear" w:color="auto" w:fill="auto"/>
            <w:vAlign w:val="bottom"/>
            <w:hideMark/>
          </w:tcPr>
          <w:p w14:paraId="2D3C73EF"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412 Nematerijalna imovina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338652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5.474,82</w:t>
            </w:r>
          </w:p>
        </w:tc>
        <w:tc>
          <w:tcPr>
            <w:tcW w:w="492" w:type="pct"/>
            <w:tcBorders>
              <w:top w:val="single" w:sz="4" w:space="0" w:color="95B3D7"/>
              <w:left w:val="nil"/>
              <w:bottom w:val="single" w:sz="4" w:space="0" w:color="95B3D7"/>
              <w:right w:val="nil"/>
            </w:tcBorders>
            <w:shd w:val="clear" w:color="auto" w:fill="auto"/>
            <w:noWrap/>
            <w:vAlign w:val="bottom"/>
            <w:hideMark/>
          </w:tcPr>
          <w:p w14:paraId="258D4E07"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8F7399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w:t>
            </w:r>
          </w:p>
        </w:tc>
        <w:tc>
          <w:tcPr>
            <w:tcW w:w="492" w:type="pct"/>
            <w:tcBorders>
              <w:top w:val="single" w:sz="4" w:space="0" w:color="95B3D7"/>
              <w:left w:val="nil"/>
              <w:bottom w:val="single" w:sz="4" w:space="0" w:color="95B3D7"/>
              <w:right w:val="nil"/>
            </w:tcBorders>
            <w:shd w:val="clear" w:color="auto" w:fill="auto"/>
            <w:noWrap/>
            <w:vAlign w:val="bottom"/>
            <w:hideMark/>
          </w:tcPr>
          <w:p w14:paraId="7F6A090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550,00</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1EA7A2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10,05</w:t>
            </w:r>
          </w:p>
        </w:tc>
        <w:tc>
          <w:tcPr>
            <w:tcW w:w="451" w:type="pct"/>
            <w:tcBorders>
              <w:top w:val="single" w:sz="4" w:space="0" w:color="95B3D7"/>
              <w:left w:val="nil"/>
              <w:bottom w:val="single" w:sz="4" w:space="0" w:color="95B3D7"/>
              <w:right w:val="nil"/>
            </w:tcBorders>
            <w:shd w:val="clear" w:color="auto" w:fill="auto"/>
            <w:noWrap/>
            <w:vAlign w:val="bottom"/>
            <w:hideMark/>
          </w:tcPr>
          <w:p w14:paraId="3B5D5E8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100,00</w:t>
            </w:r>
          </w:p>
        </w:tc>
      </w:tr>
      <w:tr w:rsidR="001738AF" w:rsidRPr="001738AF" w14:paraId="630B0D14" w14:textId="77777777" w:rsidTr="001738AF">
        <w:trPr>
          <w:trHeight w:val="150"/>
        </w:trPr>
        <w:tc>
          <w:tcPr>
            <w:tcW w:w="2179" w:type="pct"/>
            <w:tcBorders>
              <w:top w:val="nil"/>
              <w:left w:val="nil"/>
              <w:bottom w:val="nil"/>
              <w:right w:val="nil"/>
            </w:tcBorders>
            <w:shd w:val="clear" w:color="auto" w:fill="auto"/>
            <w:vAlign w:val="bottom"/>
            <w:hideMark/>
          </w:tcPr>
          <w:p w14:paraId="0193D85F"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4123 Licence</w:t>
            </w:r>
          </w:p>
        </w:tc>
        <w:tc>
          <w:tcPr>
            <w:tcW w:w="492" w:type="pct"/>
            <w:tcBorders>
              <w:top w:val="nil"/>
              <w:left w:val="single" w:sz="4" w:space="0" w:color="95B3D7"/>
              <w:bottom w:val="nil"/>
              <w:right w:val="single" w:sz="4" w:space="0" w:color="95B3D7"/>
            </w:tcBorders>
            <w:shd w:val="clear" w:color="auto" w:fill="auto"/>
            <w:noWrap/>
            <w:vAlign w:val="bottom"/>
            <w:hideMark/>
          </w:tcPr>
          <w:p w14:paraId="1FE0549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5.474,82</w:t>
            </w:r>
          </w:p>
        </w:tc>
        <w:tc>
          <w:tcPr>
            <w:tcW w:w="492" w:type="pct"/>
            <w:tcBorders>
              <w:top w:val="nil"/>
              <w:left w:val="nil"/>
              <w:bottom w:val="nil"/>
              <w:right w:val="nil"/>
            </w:tcBorders>
            <w:shd w:val="clear" w:color="auto" w:fill="auto"/>
            <w:noWrap/>
            <w:vAlign w:val="bottom"/>
            <w:hideMark/>
          </w:tcPr>
          <w:p w14:paraId="7C19A81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550</w:t>
            </w:r>
          </w:p>
        </w:tc>
        <w:tc>
          <w:tcPr>
            <w:tcW w:w="492" w:type="pct"/>
            <w:tcBorders>
              <w:top w:val="nil"/>
              <w:left w:val="single" w:sz="4" w:space="0" w:color="95B3D7"/>
              <w:bottom w:val="nil"/>
              <w:right w:val="single" w:sz="4" w:space="0" w:color="95B3D7"/>
            </w:tcBorders>
            <w:shd w:val="clear" w:color="auto" w:fill="auto"/>
            <w:noWrap/>
            <w:vAlign w:val="bottom"/>
            <w:hideMark/>
          </w:tcPr>
          <w:p w14:paraId="7F51E55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550</w:t>
            </w:r>
          </w:p>
        </w:tc>
        <w:tc>
          <w:tcPr>
            <w:tcW w:w="492" w:type="pct"/>
            <w:tcBorders>
              <w:top w:val="nil"/>
              <w:left w:val="nil"/>
              <w:bottom w:val="nil"/>
              <w:right w:val="nil"/>
            </w:tcBorders>
            <w:shd w:val="clear" w:color="auto" w:fill="auto"/>
            <w:noWrap/>
            <w:vAlign w:val="bottom"/>
            <w:hideMark/>
          </w:tcPr>
          <w:p w14:paraId="03D8033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550,00</w:t>
            </w:r>
          </w:p>
        </w:tc>
        <w:tc>
          <w:tcPr>
            <w:tcW w:w="403" w:type="pct"/>
            <w:tcBorders>
              <w:top w:val="nil"/>
              <w:left w:val="single" w:sz="4" w:space="0" w:color="95B3D7"/>
              <w:bottom w:val="nil"/>
              <w:right w:val="single" w:sz="4" w:space="0" w:color="95B3D7"/>
            </w:tcBorders>
            <w:shd w:val="clear" w:color="auto" w:fill="auto"/>
            <w:noWrap/>
            <w:vAlign w:val="bottom"/>
            <w:hideMark/>
          </w:tcPr>
          <w:p w14:paraId="110008E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10,05</w:t>
            </w:r>
          </w:p>
        </w:tc>
        <w:tc>
          <w:tcPr>
            <w:tcW w:w="451" w:type="pct"/>
            <w:tcBorders>
              <w:top w:val="nil"/>
              <w:left w:val="nil"/>
              <w:bottom w:val="nil"/>
              <w:right w:val="nil"/>
            </w:tcBorders>
            <w:shd w:val="clear" w:color="auto" w:fill="auto"/>
            <w:noWrap/>
            <w:vAlign w:val="bottom"/>
            <w:hideMark/>
          </w:tcPr>
          <w:p w14:paraId="49628166"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100,00</w:t>
            </w:r>
          </w:p>
        </w:tc>
      </w:tr>
      <w:tr w:rsidR="001738AF" w:rsidRPr="001738AF" w14:paraId="715CC7BB" w14:textId="77777777" w:rsidTr="001738AF">
        <w:trPr>
          <w:trHeight w:val="138"/>
        </w:trPr>
        <w:tc>
          <w:tcPr>
            <w:tcW w:w="2179" w:type="pct"/>
            <w:tcBorders>
              <w:top w:val="single" w:sz="4" w:space="0" w:color="95B3D7"/>
              <w:left w:val="nil"/>
              <w:bottom w:val="single" w:sz="4" w:space="0" w:color="95B3D7"/>
              <w:right w:val="nil"/>
            </w:tcBorders>
            <w:shd w:val="clear" w:color="000000" w:fill="DCE6F1"/>
            <w:noWrap/>
            <w:vAlign w:val="bottom"/>
            <w:hideMark/>
          </w:tcPr>
          <w:p w14:paraId="3A01AF1A"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42 Rashodi za nabavu proizvedene dugotrajne imovine</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DA7556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88.593,56</w:t>
            </w:r>
          </w:p>
        </w:tc>
        <w:tc>
          <w:tcPr>
            <w:tcW w:w="492" w:type="pct"/>
            <w:tcBorders>
              <w:top w:val="single" w:sz="4" w:space="0" w:color="95B3D7"/>
              <w:left w:val="nil"/>
              <w:bottom w:val="single" w:sz="4" w:space="0" w:color="95B3D7"/>
              <w:right w:val="nil"/>
            </w:tcBorders>
            <w:shd w:val="clear" w:color="000000" w:fill="DCE6F1"/>
            <w:noWrap/>
            <w:vAlign w:val="bottom"/>
            <w:hideMark/>
          </w:tcPr>
          <w:p w14:paraId="478546C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176.951</w:t>
            </w:r>
          </w:p>
        </w:tc>
        <w:tc>
          <w:tcPr>
            <w:tcW w:w="492"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EF86C99"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171.951</w:t>
            </w:r>
          </w:p>
        </w:tc>
        <w:tc>
          <w:tcPr>
            <w:tcW w:w="492" w:type="pct"/>
            <w:tcBorders>
              <w:top w:val="single" w:sz="4" w:space="0" w:color="95B3D7"/>
              <w:left w:val="nil"/>
              <w:bottom w:val="single" w:sz="4" w:space="0" w:color="95B3D7"/>
              <w:right w:val="nil"/>
            </w:tcBorders>
            <w:shd w:val="clear" w:color="000000" w:fill="DCE6F1"/>
            <w:noWrap/>
            <w:vAlign w:val="bottom"/>
            <w:hideMark/>
          </w:tcPr>
          <w:p w14:paraId="7B6B078A"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156.980,17</w:t>
            </w:r>
          </w:p>
        </w:tc>
        <w:tc>
          <w:tcPr>
            <w:tcW w:w="403"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40D30C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177,19</w:t>
            </w:r>
          </w:p>
        </w:tc>
        <w:tc>
          <w:tcPr>
            <w:tcW w:w="451" w:type="pct"/>
            <w:tcBorders>
              <w:top w:val="single" w:sz="4" w:space="0" w:color="95B3D7"/>
              <w:left w:val="nil"/>
              <w:bottom w:val="single" w:sz="4" w:space="0" w:color="95B3D7"/>
              <w:right w:val="nil"/>
            </w:tcBorders>
            <w:shd w:val="clear" w:color="000000" w:fill="DCE6F1"/>
            <w:noWrap/>
            <w:vAlign w:val="bottom"/>
            <w:hideMark/>
          </w:tcPr>
          <w:p w14:paraId="1915B8B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91,29</w:t>
            </w:r>
          </w:p>
        </w:tc>
      </w:tr>
      <w:tr w:rsidR="001738AF" w:rsidRPr="001738AF" w14:paraId="15EBAB3F" w14:textId="77777777" w:rsidTr="001738AF">
        <w:trPr>
          <w:trHeight w:val="300"/>
        </w:trPr>
        <w:tc>
          <w:tcPr>
            <w:tcW w:w="2179" w:type="pct"/>
            <w:tcBorders>
              <w:top w:val="nil"/>
              <w:left w:val="nil"/>
              <w:bottom w:val="nil"/>
              <w:right w:val="nil"/>
            </w:tcBorders>
            <w:shd w:val="clear" w:color="auto" w:fill="auto"/>
            <w:vAlign w:val="bottom"/>
            <w:hideMark/>
          </w:tcPr>
          <w:p w14:paraId="0F673D0F"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422 Postrojenja i oprema</w:t>
            </w:r>
          </w:p>
        </w:tc>
        <w:tc>
          <w:tcPr>
            <w:tcW w:w="492" w:type="pct"/>
            <w:tcBorders>
              <w:top w:val="nil"/>
              <w:left w:val="single" w:sz="4" w:space="0" w:color="95B3D7"/>
              <w:bottom w:val="nil"/>
              <w:right w:val="single" w:sz="4" w:space="0" w:color="95B3D7"/>
            </w:tcBorders>
            <w:shd w:val="clear" w:color="auto" w:fill="auto"/>
            <w:noWrap/>
            <w:vAlign w:val="bottom"/>
            <w:hideMark/>
          </w:tcPr>
          <w:p w14:paraId="069E202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58.675,04</w:t>
            </w:r>
          </w:p>
        </w:tc>
        <w:tc>
          <w:tcPr>
            <w:tcW w:w="492" w:type="pct"/>
            <w:tcBorders>
              <w:top w:val="nil"/>
              <w:left w:val="nil"/>
              <w:bottom w:val="nil"/>
              <w:right w:val="nil"/>
            </w:tcBorders>
            <w:shd w:val="clear" w:color="auto" w:fill="auto"/>
            <w:noWrap/>
            <w:vAlign w:val="bottom"/>
            <w:hideMark/>
          </w:tcPr>
          <w:p w14:paraId="7B431D8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60.640</w:t>
            </w:r>
          </w:p>
        </w:tc>
        <w:tc>
          <w:tcPr>
            <w:tcW w:w="492" w:type="pct"/>
            <w:tcBorders>
              <w:top w:val="nil"/>
              <w:left w:val="single" w:sz="4" w:space="0" w:color="95B3D7"/>
              <w:bottom w:val="nil"/>
              <w:right w:val="single" w:sz="4" w:space="0" w:color="95B3D7"/>
            </w:tcBorders>
            <w:shd w:val="clear" w:color="auto" w:fill="auto"/>
            <w:noWrap/>
            <w:vAlign w:val="bottom"/>
            <w:hideMark/>
          </w:tcPr>
          <w:p w14:paraId="58D09CD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55.640</w:t>
            </w:r>
          </w:p>
        </w:tc>
        <w:tc>
          <w:tcPr>
            <w:tcW w:w="492" w:type="pct"/>
            <w:tcBorders>
              <w:top w:val="nil"/>
              <w:left w:val="nil"/>
              <w:bottom w:val="nil"/>
              <w:right w:val="nil"/>
            </w:tcBorders>
            <w:shd w:val="clear" w:color="auto" w:fill="auto"/>
            <w:noWrap/>
            <w:vAlign w:val="bottom"/>
            <w:hideMark/>
          </w:tcPr>
          <w:p w14:paraId="561D7AA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52.650,18</w:t>
            </w:r>
          </w:p>
        </w:tc>
        <w:tc>
          <w:tcPr>
            <w:tcW w:w="403" w:type="pct"/>
            <w:tcBorders>
              <w:top w:val="nil"/>
              <w:left w:val="single" w:sz="4" w:space="0" w:color="95B3D7"/>
              <w:bottom w:val="nil"/>
              <w:right w:val="single" w:sz="4" w:space="0" w:color="95B3D7"/>
            </w:tcBorders>
            <w:shd w:val="clear" w:color="auto" w:fill="auto"/>
            <w:noWrap/>
            <w:vAlign w:val="bottom"/>
            <w:hideMark/>
          </w:tcPr>
          <w:p w14:paraId="43F772B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89,73</w:t>
            </w:r>
          </w:p>
        </w:tc>
        <w:tc>
          <w:tcPr>
            <w:tcW w:w="451" w:type="pct"/>
            <w:tcBorders>
              <w:top w:val="nil"/>
              <w:left w:val="nil"/>
              <w:bottom w:val="nil"/>
              <w:right w:val="nil"/>
            </w:tcBorders>
            <w:shd w:val="clear" w:color="auto" w:fill="auto"/>
            <w:noWrap/>
            <w:vAlign w:val="bottom"/>
            <w:hideMark/>
          </w:tcPr>
          <w:p w14:paraId="06F8E812"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94,63</w:t>
            </w:r>
          </w:p>
        </w:tc>
      </w:tr>
      <w:tr w:rsidR="001738AF" w:rsidRPr="001738AF" w14:paraId="080D5E6D" w14:textId="77777777" w:rsidTr="001738AF">
        <w:trPr>
          <w:trHeight w:val="133"/>
        </w:trPr>
        <w:tc>
          <w:tcPr>
            <w:tcW w:w="2179" w:type="pct"/>
            <w:tcBorders>
              <w:top w:val="single" w:sz="4" w:space="0" w:color="95B3D7"/>
              <w:left w:val="nil"/>
              <w:bottom w:val="single" w:sz="4" w:space="0" w:color="95B3D7"/>
              <w:right w:val="nil"/>
            </w:tcBorders>
            <w:shd w:val="clear" w:color="auto" w:fill="auto"/>
            <w:vAlign w:val="bottom"/>
            <w:hideMark/>
          </w:tcPr>
          <w:p w14:paraId="0D1545EA"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4221 Uredska oprema i namještaj</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427D41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45.934,57</w:t>
            </w:r>
          </w:p>
        </w:tc>
        <w:tc>
          <w:tcPr>
            <w:tcW w:w="492" w:type="pct"/>
            <w:tcBorders>
              <w:top w:val="single" w:sz="4" w:space="0" w:color="95B3D7"/>
              <w:left w:val="nil"/>
              <w:bottom w:val="single" w:sz="4" w:space="0" w:color="95B3D7"/>
              <w:right w:val="nil"/>
            </w:tcBorders>
            <w:shd w:val="clear" w:color="auto" w:fill="auto"/>
            <w:noWrap/>
            <w:vAlign w:val="bottom"/>
            <w:hideMark/>
          </w:tcPr>
          <w:p w14:paraId="06FF2A2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32.259</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601DB5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27.259</w:t>
            </w:r>
          </w:p>
        </w:tc>
        <w:tc>
          <w:tcPr>
            <w:tcW w:w="492" w:type="pct"/>
            <w:tcBorders>
              <w:top w:val="single" w:sz="4" w:space="0" w:color="95B3D7"/>
              <w:left w:val="nil"/>
              <w:bottom w:val="single" w:sz="4" w:space="0" w:color="95B3D7"/>
              <w:right w:val="nil"/>
            </w:tcBorders>
            <w:shd w:val="clear" w:color="auto" w:fill="auto"/>
            <w:noWrap/>
            <w:vAlign w:val="bottom"/>
            <w:hideMark/>
          </w:tcPr>
          <w:p w14:paraId="1047532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19.853,41</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B4E80E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43,22</w:t>
            </w:r>
          </w:p>
        </w:tc>
        <w:tc>
          <w:tcPr>
            <w:tcW w:w="451" w:type="pct"/>
            <w:tcBorders>
              <w:top w:val="single" w:sz="4" w:space="0" w:color="95B3D7"/>
              <w:left w:val="nil"/>
              <w:bottom w:val="single" w:sz="4" w:space="0" w:color="95B3D7"/>
              <w:right w:val="nil"/>
            </w:tcBorders>
            <w:shd w:val="clear" w:color="auto" w:fill="auto"/>
            <w:noWrap/>
            <w:vAlign w:val="bottom"/>
            <w:hideMark/>
          </w:tcPr>
          <w:p w14:paraId="2DB4B19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72,83</w:t>
            </w:r>
          </w:p>
        </w:tc>
      </w:tr>
      <w:tr w:rsidR="001738AF" w:rsidRPr="001738AF" w14:paraId="643C596B" w14:textId="77777777" w:rsidTr="001738AF">
        <w:trPr>
          <w:trHeight w:val="110"/>
        </w:trPr>
        <w:tc>
          <w:tcPr>
            <w:tcW w:w="2179" w:type="pct"/>
            <w:tcBorders>
              <w:top w:val="nil"/>
              <w:left w:val="nil"/>
              <w:bottom w:val="nil"/>
              <w:right w:val="nil"/>
            </w:tcBorders>
            <w:shd w:val="clear" w:color="auto" w:fill="auto"/>
            <w:vAlign w:val="bottom"/>
            <w:hideMark/>
          </w:tcPr>
          <w:p w14:paraId="03EC1F0B"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4222 Komunikacijska oprema</w:t>
            </w:r>
          </w:p>
        </w:tc>
        <w:tc>
          <w:tcPr>
            <w:tcW w:w="492" w:type="pct"/>
            <w:tcBorders>
              <w:top w:val="nil"/>
              <w:left w:val="single" w:sz="4" w:space="0" w:color="95B3D7"/>
              <w:bottom w:val="nil"/>
              <w:right w:val="single" w:sz="4" w:space="0" w:color="95B3D7"/>
            </w:tcBorders>
            <w:shd w:val="clear" w:color="auto" w:fill="auto"/>
            <w:noWrap/>
            <w:vAlign w:val="bottom"/>
            <w:hideMark/>
          </w:tcPr>
          <w:p w14:paraId="146F994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4.147,80</w:t>
            </w:r>
          </w:p>
        </w:tc>
        <w:tc>
          <w:tcPr>
            <w:tcW w:w="492" w:type="pct"/>
            <w:tcBorders>
              <w:top w:val="nil"/>
              <w:left w:val="nil"/>
              <w:bottom w:val="nil"/>
              <w:right w:val="nil"/>
            </w:tcBorders>
            <w:shd w:val="clear" w:color="auto" w:fill="auto"/>
            <w:noWrap/>
            <w:vAlign w:val="bottom"/>
            <w:hideMark/>
          </w:tcPr>
          <w:p w14:paraId="1857053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6.636</w:t>
            </w:r>
          </w:p>
        </w:tc>
        <w:tc>
          <w:tcPr>
            <w:tcW w:w="492" w:type="pct"/>
            <w:tcBorders>
              <w:top w:val="nil"/>
              <w:left w:val="single" w:sz="4" w:space="0" w:color="95B3D7"/>
              <w:bottom w:val="nil"/>
              <w:right w:val="single" w:sz="4" w:space="0" w:color="95B3D7"/>
            </w:tcBorders>
            <w:shd w:val="clear" w:color="auto" w:fill="auto"/>
            <w:noWrap/>
            <w:vAlign w:val="bottom"/>
            <w:hideMark/>
          </w:tcPr>
          <w:p w14:paraId="5D6EF39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6.636</w:t>
            </w:r>
          </w:p>
        </w:tc>
        <w:tc>
          <w:tcPr>
            <w:tcW w:w="492" w:type="pct"/>
            <w:tcBorders>
              <w:top w:val="nil"/>
              <w:left w:val="nil"/>
              <w:bottom w:val="nil"/>
              <w:right w:val="nil"/>
            </w:tcBorders>
            <w:shd w:val="clear" w:color="auto" w:fill="auto"/>
            <w:noWrap/>
            <w:vAlign w:val="bottom"/>
            <w:hideMark/>
          </w:tcPr>
          <w:p w14:paraId="0483594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6.311,50</w:t>
            </w:r>
          </w:p>
        </w:tc>
        <w:tc>
          <w:tcPr>
            <w:tcW w:w="403" w:type="pct"/>
            <w:tcBorders>
              <w:top w:val="nil"/>
              <w:left w:val="single" w:sz="4" w:space="0" w:color="95B3D7"/>
              <w:bottom w:val="nil"/>
              <w:right w:val="single" w:sz="4" w:space="0" w:color="95B3D7"/>
            </w:tcBorders>
            <w:shd w:val="clear" w:color="auto" w:fill="auto"/>
            <w:noWrap/>
            <w:vAlign w:val="bottom"/>
            <w:hideMark/>
          </w:tcPr>
          <w:p w14:paraId="3E038F9E"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152,17</w:t>
            </w:r>
          </w:p>
        </w:tc>
        <w:tc>
          <w:tcPr>
            <w:tcW w:w="451" w:type="pct"/>
            <w:tcBorders>
              <w:top w:val="nil"/>
              <w:left w:val="nil"/>
              <w:bottom w:val="nil"/>
              <w:right w:val="nil"/>
            </w:tcBorders>
            <w:shd w:val="clear" w:color="auto" w:fill="auto"/>
            <w:noWrap/>
            <w:vAlign w:val="bottom"/>
            <w:hideMark/>
          </w:tcPr>
          <w:p w14:paraId="29A9700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95,11</w:t>
            </w:r>
          </w:p>
        </w:tc>
      </w:tr>
      <w:tr w:rsidR="001738AF" w:rsidRPr="001738AF" w14:paraId="255F785C" w14:textId="77777777" w:rsidTr="001738AF">
        <w:trPr>
          <w:trHeight w:val="227"/>
        </w:trPr>
        <w:tc>
          <w:tcPr>
            <w:tcW w:w="2179" w:type="pct"/>
            <w:tcBorders>
              <w:top w:val="single" w:sz="4" w:space="0" w:color="95B3D7"/>
              <w:left w:val="nil"/>
              <w:bottom w:val="single" w:sz="4" w:space="0" w:color="95B3D7"/>
              <w:right w:val="nil"/>
            </w:tcBorders>
            <w:shd w:val="clear" w:color="auto" w:fill="auto"/>
            <w:vAlign w:val="bottom"/>
            <w:hideMark/>
          </w:tcPr>
          <w:p w14:paraId="7A3F4EA3"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4223 Oprema za održavanje i zaštitu</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9B8AB37"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8.592,67</w:t>
            </w:r>
          </w:p>
        </w:tc>
        <w:tc>
          <w:tcPr>
            <w:tcW w:w="492" w:type="pct"/>
            <w:tcBorders>
              <w:top w:val="single" w:sz="4" w:space="0" w:color="95B3D7"/>
              <w:left w:val="nil"/>
              <w:bottom w:val="single" w:sz="4" w:space="0" w:color="95B3D7"/>
              <w:right w:val="nil"/>
            </w:tcBorders>
            <w:shd w:val="clear" w:color="auto" w:fill="auto"/>
            <w:noWrap/>
            <w:vAlign w:val="bottom"/>
            <w:hideMark/>
          </w:tcPr>
          <w:p w14:paraId="6C8D3B5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21.745</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1296035"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21.745</w:t>
            </w:r>
          </w:p>
        </w:tc>
        <w:tc>
          <w:tcPr>
            <w:tcW w:w="492" w:type="pct"/>
            <w:tcBorders>
              <w:top w:val="single" w:sz="4" w:space="0" w:color="95B3D7"/>
              <w:left w:val="nil"/>
              <w:bottom w:val="single" w:sz="4" w:space="0" w:color="95B3D7"/>
              <w:right w:val="nil"/>
            </w:tcBorders>
            <w:shd w:val="clear" w:color="auto" w:fill="auto"/>
            <w:noWrap/>
            <w:vAlign w:val="bottom"/>
            <w:hideMark/>
          </w:tcPr>
          <w:p w14:paraId="2B5C7359"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26.485,27</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4C1E99D"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308,23</w:t>
            </w:r>
          </w:p>
        </w:tc>
        <w:tc>
          <w:tcPr>
            <w:tcW w:w="451" w:type="pct"/>
            <w:tcBorders>
              <w:top w:val="single" w:sz="4" w:space="0" w:color="95B3D7"/>
              <w:left w:val="nil"/>
              <w:bottom w:val="single" w:sz="4" w:space="0" w:color="95B3D7"/>
              <w:right w:val="nil"/>
            </w:tcBorders>
            <w:shd w:val="clear" w:color="auto" w:fill="auto"/>
            <w:noWrap/>
            <w:vAlign w:val="bottom"/>
            <w:hideMark/>
          </w:tcPr>
          <w:p w14:paraId="6E2BE79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121,80</w:t>
            </w:r>
          </w:p>
        </w:tc>
      </w:tr>
      <w:tr w:rsidR="001738AF" w:rsidRPr="001738AF" w14:paraId="22757336" w14:textId="77777777" w:rsidTr="001738AF">
        <w:trPr>
          <w:trHeight w:val="169"/>
        </w:trPr>
        <w:tc>
          <w:tcPr>
            <w:tcW w:w="2179" w:type="pct"/>
            <w:tcBorders>
              <w:top w:val="nil"/>
              <w:left w:val="nil"/>
              <w:bottom w:val="nil"/>
              <w:right w:val="nil"/>
            </w:tcBorders>
            <w:shd w:val="clear" w:color="auto" w:fill="auto"/>
            <w:vAlign w:val="bottom"/>
            <w:hideMark/>
          </w:tcPr>
          <w:p w14:paraId="5A993903"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t>423 Prijevozna sredstva</w:t>
            </w:r>
          </w:p>
        </w:tc>
        <w:tc>
          <w:tcPr>
            <w:tcW w:w="492" w:type="pct"/>
            <w:tcBorders>
              <w:top w:val="nil"/>
              <w:left w:val="single" w:sz="4" w:space="0" w:color="95B3D7"/>
              <w:bottom w:val="nil"/>
              <w:right w:val="single" w:sz="4" w:space="0" w:color="95B3D7"/>
            </w:tcBorders>
            <w:shd w:val="clear" w:color="auto" w:fill="auto"/>
            <w:noWrap/>
            <w:vAlign w:val="bottom"/>
            <w:hideMark/>
          </w:tcPr>
          <w:p w14:paraId="432D0EE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29.918,52</w:t>
            </w:r>
          </w:p>
        </w:tc>
        <w:tc>
          <w:tcPr>
            <w:tcW w:w="492" w:type="pct"/>
            <w:tcBorders>
              <w:top w:val="nil"/>
              <w:left w:val="nil"/>
              <w:bottom w:val="nil"/>
              <w:right w:val="nil"/>
            </w:tcBorders>
            <w:shd w:val="clear" w:color="auto" w:fill="auto"/>
            <w:noWrap/>
            <w:vAlign w:val="bottom"/>
            <w:hideMark/>
          </w:tcPr>
          <w:p w14:paraId="32A122C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116.311</w:t>
            </w:r>
          </w:p>
        </w:tc>
        <w:tc>
          <w:tcPr>
            <w:tcW w:w="492" w:type="pct"/>
            <w:tcBorders>
              <w:top w:val="nil"/>
              <w:left w:val="single" w:sz="4" w:space="0" w:color="95B3D7"/>
              <w:bottom w:val="nil"/>
              <w:right w:val="single" w:sz="4" w:space="0" w:color="95B3D7"/>
            </w:tcBorders>
            <w:shd w:val="clear" w:color="auto" w:fill="auto"/>
            <w:noWrap/>
            <w:vAlign w:val="bottom"/>
            <w:hideMark/>
          </w:tcPr>
          <w:p w14:paraId="6ABF55D3"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116.311</w:t>
            </w:r>
          </w:p>
        </w:tc>
        <w:tc>
          <w:tcPr>
            <w:tcW w:w="492" w:type="pct"/>
            <w:tcBorders>
              <w:top w:val="nil"/>
              <w:left w:val="nil"/>
              <w:bottom w:val="nil"/>
              <w:right w:val="nil"/>
            </w:tcBorders>
            <w:shd w:val="clear" w:color="auto" w:fill="auto"/>
            <w:noWrap/>
            <w:vAlign w:val="bottom"/>
            <w:hideMark/>
          </w:tcPr>
          <w:p w14:paraId="494C685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104.329,99</w:t>
            </w:r>
          </w:p>
        </w:tc>
        <w:tc>
          <w:tcPr>
            <w:tcW w:w="403" w:type="pct"/>
            <w:tcBorders>
              <w:top w:val="nil"/>
              <w:left w:val="single" w:sz="4" w:space="0" w:color="95B3D7"/>
              <w:bottom w:val="nil"/>
              <w:right w:val="single" w:sz="4" w:space="0" w:color="95B3D7"/>
            </w:tcBorders>
            <w:shd w:val="clear" w:color="auto" w:fill="auto"/>
            <w:noWrap/>
            <w:vAlign w:val="bottom"/>
            <w:hideMark/>
          </w:tcPr>
          <w:p w14:paraId="134B2ED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348,71</w:t>
            </w:r>
          </w:p>
        </w:tc>
        <w:tc>
          <w:tcPr>
            <w:tcW w:w="451" w:type="pct"/>
            <w:tcBorders>
              <w:top w:val="nil"/>
              <w:left w:val="nil"/>
              <w:bottom w:val="nil"/>
              <w:right w:val="nil"/>
            </w:tcBorders>
            <w:shd w:val="clear" w:color="auto" w:fill="auto"/>
            <w:noWrap/>
            <w:vAlign w:val="bottom"/>
            <w:hideMark/>
          </w:tcPr>
          <w:p w14:paraId="4650BD2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89,70</w:t>
            </w:r>
          </w:p>
        </w:tc>
      </w:tr>
      <w:tr w:rsidR="001738AF" w:rsidRPr="001738AF" w14:paraId="442341C9" w14:textId="77777777" w:rsidTr="001738AF">
        <w:trPr>
          <w:trHeight w:val="238"/>
        </w:trPr>
        <w:tc>
          <w:tcPr>
            <w:tcW w:w="2179" w:type="pct"/>
            <w:tcBorders>
              <w:top w:val="single" w:sz="4" w:space="0" w:color="95B3D7"/>
              <w:left w:val="nil"/>
              <w:bottom w:val="single" w:sz="4" w:space="0" w:color="95B3D7"/>
              <w:right w:val="nil"/>
            </w:tcBorders>
            <w:shd w:val="clear" w:color="auto" w:fill="auto"/>
            <w:vAlign w:val="bottom"/>
            <w:hideMark/>
          </w:tcPr>
          <w:p w14:paraId="0ED1A3A1"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4231 Prijevozna sredstva u cestovnom prometu</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B7F1622"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29.918,52</w:t>
            </w:r>
          </w:p>
        </w:tc>
        <w:tc>
          <w:tcPr>
            <w:tcW w:w="492" w:type="pct"/>
            <w:tcBorders>
              <w:top w:val="single" w:sz="4" w:space="0" w:color="95B3D7"/>
              <w:left w:val="nil"/>
              <w:bottom w:val="single" w:sz="4" w:space="0" w:color="95B3D7"/>
              <w:right w:val="nil"/>
            </w:tcBorders>
            <w:shd w:val="clear" w:color="auto" w:fill="auto"/>
            <w:noWrap/>
            <w:vAlign w:val="bottom"/>
            <w:hideMark/>
          </w:tcPr>
          <w:p w14:paraId="7580C421"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116.311</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7F1258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116.311</w:t>
            </w:r>
          </w:p>
        </w:tc>
        <w:tc>
          <w:tcPr>
            <w:tcW w:w="492" w:type="pct"/>
            <w:tcBorders>
              <w:top w:val="single" w:sz="4" w:space="0" w:color="95B3D7"/>
              <w:left w:val="nil"/>
              <w:bottom w:val="single" w:sz="4" w:space="0" w:color="95B3D7"/>
              <w:right w:val="nil"/>
            </w:tcBorders>
            <w:shd w:val="clear" w:color="auto" w:fill="auto"/>
            <w:noWrap/>
            <w:vAlign w:val="bottom"/>
            <w:hideMark/>
          </w:tcPr>
          <w:p w14:paraId="293918C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104.329,99</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E78BD1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348,71</w:t>
            </w:r>
          </w:p>
        </w:tc>
        <w:tc>
          <w:tcPr>
            <w:tcW w:w="451" w:type="pct"/>
            <w:tcBorders>
              <w:top w:val="single" w:sz="4" w:space="0" w:color="95B3D7"/>
              <w:left w:val="nil"/>
              <w:bottom w:val="single" w:sz="4" w:space="0" w:color="95B3D7"/>
              <w:right w:val="nil"/>
            </w:tcBorders>
            <w:shd w:val="clear" w:color="auto" w:fill="auto"/>
            <w:noWrap/>
            <w:vAlign w:val="bottom"/>
            <w:hideMark/>
          </w:tcPr>
          <w:p w14:paraId="48FA4483"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89,70</w:t>
            </w:r>
          </w:p>
        </w:tc>
      </w:tr>
      <w:tr w:rsidR="001738AF" w:rsidRPr="001738AF" w14:paraId="18565513" w14:textId="77777777" w:rsidTr="001738AF">
        <w:trPr>
          <w:trHeight w:val="177"/>
        </w:trPr>
        <w:tc>
          <w:tcPr>
            <w:tcW w:w="2179" w:type="pct"/>
            <w:tcBorders>
              <w:top w:val="nil"/>
              <w:left w:val="nil"/>
              <w:bottom w:val="nil"/>
              <w:right w:val="nil"/>
            </w:tcBorders>
            <w:shd w:val="clear" w:color="000000" w:fill="DCE6F1"/>
            <w:noWrap/>
            <w:vAlign w:val="bottom"/>
            <w:hideMark/>
          </w:tcPr>
          <w:p w14:paraId="179FA0F3" w14:textId="77777777" w:rsidR="001738AF" w:rsidRPr="001738AF" w:rsidRDefault="001738AF" w:rsidP="001738AF">
            <w:pPr>
              <w:widowControl/>
              <w:autoSpaceDE/>
              <w:autoSpaceDN/>
              <w:adjustRightInd/>
              <w:ind w:firstLineChars="200" w:firstLine="360"/>
              <w:jc w:val="left"/>
              <w:rPr>
                <w:rFonts w:ascii="Calibri" w:hAnsi="Calibri" w:cs="Calibri"/>
                <w:b/>
                <w:bCs/>
                <w:color w:val="000000"/>
                <w:sz w:val="18"/>
                <w:szCs w:val="18"/>
              </w:rPr>
            </w:pPr>
            <w:r w:rsidRPr="001738AF">
              <w:rPr>
                <w:rFonts w:ascii="Calibri" w:hAnsi="Calibri" w:cs="Calibri"/>
                <w:b/>
                <w:bCs/>
                <w:color w:val="000000"/>
                <w:sz w:val="18"/>
                <w:szCs w:val="18"/>
              </w:rPr>
              <w:t>45 Rashodi za dodatna ulaganja na nefinancijskoj imovini</w:t>
            </w:r>
          </w:p>
        </w:tc>
        <w:tc>
          <w:tcPr>
            <w:tcW w:w="492" w:type="pct"/>
            <w:tcBorders>
              <w:top w:val="nil"/>
              <w:left w:val="single" w:sz="4" w:space="0" w:color="95B3D7"/>
              <w:bottom w:val="nil"/>
              <w:right w:val="single" w:sz="4" w:space="0" w:color="95B3D7"/>
            </w:tcBorders>
            <w:shd w:val="clear" w:color="000000" w:fill="DCE6F1"/>
            <w:noWrap/>
            <w:vAlign w:val="bottom"/>
            <w:hideMark/>
          </w:tcPr>
          <w:p w14:paraId="61EE577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1.102.224,34</w:t>
            </w:r>
          </w:p>
        </w:tc>
        <w:tc>
          <w:tcPr>
            <w:tcW w:w="492" w:type="pct"/>
            <w:tcBorders>
              <w:top w:val="nil"/>
              <w:left w:val="nil"/>
              <w:bottom w:val="nil"/>
              <w:right w:val="nil"/>
            </w:tcBorders>
            <w:shd w:val="clear" w:color="000000" w:fill="DCE6F1"/>
            <w:noWrap/>
            <w:vAlign w:val="bottom"/>
            <w:hideMark/>
          </w:tcPr>
          <w:p w14:paraId="0F9DDA6E"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3.586.475</w:t>
            </w:r>
          </w:p>
        </w:tc>
        <w:tc>
          <w:tcPr>
            <w:tcW w:w="492" w:type="pct"/>
            <w:tcBorders>
              <w:top w:val="nil"/>
              <w:left w:val="single" w:sz="4" w:space="0" w:color="95B3D7"/>
              <w:bottom w:val="nil"/>
              <w:right w:val="single" w:sz="4" w:space="0" w:color="95B3D7"/>
            </w:tcBorders>
            <w:shd w:val="clear" w:color="000000" w:fill="DCE6F1"/>
            <w:noWrap/>
            <w:vAlign w:val="bottom"/>
            <w:hideMark/>
          </w:tcPr>
          <w:p w14:paraId="35D166E8"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720.653</w:t>
            </w:r>
          </w:p>
        </w:tc>
        <w:tc>
          <w:tcPr>
            <w:tcW w:w="492" w:type="pct"/>
            <w:tcBorders>
              <w:top w:val="nil"/>
              <w:left w:val="nil"/>
              <w:bottom w:val="nil"/>
              <w:right w:val="nil"/>
            </w:tcBorders>
            <w:shd w:val="clear" w:color="000000" w:fill="DCE6F1"/>
            <w:noWrap/>
            <w:vAlign w:val="bottom"/>
            <w:hideMark/>
          </w:tcPr>
          <w:p w14:paraId="3D65ADEB"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719.213,27</w:t>
            </w:r>
          </w:p>
        </w:tc>
        <w:tc>
          <w:tcPr>
            <w:tcW w:w="403" w:type="pct"/>
            <w:tcBorders>
              <w:top w:val="nil"/>
              <w:left w:val="single" w:sz="4" w:space="0" w:color="95B3D7"/>
              <w:bottom w:val="nil"/>
              <w:right w:val="single" w:sz="4" w:space="0" w:color="95B3D7"/>
            </w:tcBorders>
            <w:shd w:val="clear" w:color="000000" w:fill="DCE6F1"/>
            <w:noWrap/>
            <w:vAlign w:val="bottom"/>
            <w:hideMark/>
          </w:tcPr>
          <w:p w14:paraId="00CDEFD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65,25</w:t>
            </w:r>
          </w:p>
        </w:tc>
        <w:tc>
          <w:tcPr>
            <w:tcW w:w="451" w:type="pct"/>
            <w:tcBorders>
              <w:top w:val="nil"/>
              <w:left w:val="nil"/>
              <w:bottom w:val="nil"/>
              <w:right w:val="nil"/>
            </w:tcBorders>
            <w:shd w:val="clear" w:color="000000" w:fill="DCE6F1"/>
            <w:noWrap/>
            <w:vAlign w:val="bottom"/>
            <w:hideMark/>
          </w:tcPr>
          <w:p w14:paraId="7776819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99,80</w:t>
            </w:r>
          </w:p>
        </w:tc>
      </w:tr>
      <w:tr w:rsidR="001738AF" w:rsidRPr="001738AF" w14:paraId="73F2B69A" w14:textId="77777777" w:rsidTr="001738AF">
        <w:trPr>
          <w:trHeight w:val="187"/>
        </w:trPr>
        <w:tc>
          <w:tcPr>
            <w:tcW w:w="2179" w:type="pct"/>
            <w:tcBorders>
              <w:top w:val="single" w:sz="4" w:space="0" w:color="95B3D7"/>
              <w:left w:val="nil"/>
              <w:bottom w:val="single" w:sz="4" w:space="0" w:color="95B3D7"/>
              <w:right w:val="nil"/>
            </w:tcBorders>
            <w:shd w:val="clear" w:color="auto" w:fill="auto"/>
            <w:vAlign w:val="bottom"/>
            <w:hideMark/>
          </w:tcPr>
          <w:p w14:paraId="430A8967" w14:textId="77777777" w:rsidR="001738AF" w:rsidRPr="001738AF" w:rsidRDefault="001738AF" w:rsidP="001738AF">
            <w:pPr>
              <w:widowControl/>
              <w:autoSpaceDE/>
              <w:autoSpaceDN/>
              <w:adjustRightInd/>
              <w:ind w:firstLineChars="300" w:firstLine="540"/>
              <w:jc w:val="left"/>
              <w:rPr>
                <w:rFonts w:ascii="Calibri" w:hAnsi="Calibri" w:cs="Calibri"/>
                <w:b/>
                <w:bCs/>
                <w:color w:val="000000"/>
                <w:sz w:val="18"/>
                <w:szCs w:val="18"/>
              </w:rPr>
            </w:pPr>
            <w:r w:rsidRPr="001738AF">
              <w:rPr>
                <w:rFonts w:ascii="Calibri" w:hAnsi="Calibri" w:cs="Calibri"/>
                <w:b/>
                <w:bCs/>
                <w:color w:val="000000"/>
                <w:sz w:val="18"/>
                <w:szCs w:val="18"/>
              </w:rPr>
              <w:lastRenderedPageBreak/>
              <w:t>451 Dodatna ulaganja na građevinskim objektima</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646038C"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1.102.224,34</w:t>
            </w:r>
          </w:p>
        </w:tc>
        <w:tc>
          <w:tcPr>
            <w:tcW w:w="492" w:type="pct"/>
            <w:tcBorders>
              <w:top w:val="single" w:sz="4" w:space="0" w:color="95B3D7"/>
              <w:left w:val="nil"/>
              <w:bottom w:val="single" w:sz="4" w:space="0" w:color="95B3D7"/>
              <w:right w:val="nil"/>
            </w:tcBorders>
            <w:shd w:val="clear" w:color="auto" w:fill="auto"/>
            <w:noWrap/>
            <w:vAlign w:val="bottom"/>
            <w:hideMark/>
          </w:tcPr>
          <w:p w14:paraId="4702BE2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3.586.475</w:t>
            </w:r>
          </w:p>
        </w:tc>
        <w:tc>
          <w:tcPr>
            <w:tcW w:w="492"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F455254"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720.653</w:t>
            </w:r>
          </w:p>
        </w:tc>
        <w:tc>
          <w:tcPr>
            <w:tcW w:w="492" w:type="pct"/>
            <w:tcBorders>
              <w:top w:val="single" w:sz="4" w:space="0" w:color="95B3D7"/>
              <w:left w:val="nil"/>
              <w:bottom w:val="single" w:sz="4" w:space="0" w:color="95B3D7"/>
              <w:right w:val="nil"/>
            </w:tcBorders>
            <w:shd w:val="clear" w:color="auto" w:fill="auto"/>
            <w:noWrap/>
            <w:vAlign w:val="bottom"/>
            <w:hideMark/>
          </w:tcPr>
          <w:p w14:paraId="317445E5"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719.213,27</w:t>
            </w:r>
          </w:p>
        </w:tc>
        <w:tc>
          <w:tcPr>
            <w:tcW w:w="403"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4AA32D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65,25</w:t>
            </w:r>
          </w:p>
        </w:tc>
        <w:tc>
          <w:tcPr>
            <w:tcW w:w="451" w:type="pct"/>
            <w:tcBorders>
              <w:top w:val="single" w:sz="4" w:space="0" w:color="95B3D7"/>
              <w:left w:val="nil"/>
              <w:bottom w:val="single" w:sz="4" w:space="0" w:color="95B3D7"/>
              <w:right w:val="nil"/>
            </w:tcBorders>
            <w:shd w:val="clear" w:color="auto" w:fill="auto"/>
            <w:noWrap/>
            <w:vAlign w:val="bottom"/>
            <w:hideMark/>
          </w:tcPr>
          <w:p w14:paraId="206C407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99,80</w:t>
            </w:r>
          </w:p>
        </w:tc>
      </w:tr>
      <w:tr w:rsidR="001738AF" w:rsidRPr="001738AF" w14:paraId="2F9A7E85" w14:textId="77777777" w:rsidTr="001738AF">
        <w:trPr>
          <w:trHeight w:val="300"/>
        </w:trPr>
        <w:tc>
          <w:tcPr>
            <w:tcW w:w="2179" w:type="pct"/>
            <w:tcBorders>
              <w:top w:val="nil"/>
              <w:left w:val="nil"/>
              <w:bottom w:val="nil"/>
              <w:right w:val="nil"/>
            </w:tcBorders>
            <w:shd w:val="clear" w:color="auto" w:fill="auto"/>
            <w:vAlign w:val="bottom"/>
            <w:hideMark/>
          </w:tcPr>
          <w:p w14:paraId="41541ED1" w14:textId="77777777" w:rsidR="001738AF" w:rsidRPr="001738AF" w:rsidRDefault="001738AF" w:rsidP="001738AF">
            <w:pPr>
              <w:widowControl/>
              <w:autoSpaceDE/>
              <w:autoSpaceDN/>
              <w:adjustRightInd/>
              <w:ind w:firstLineChars="400" w:firstLine="720"/>
              <w:jc w:val="left"/>
              <w:rPr>
                <w:rFonts w:ascii="Calibri" w:hAnsi="Calibri" w:cs="Calibri"/>
                <w:color w:val="000000"/>
                <w:sz w:val="18"/>
                <w:szCs w:val="18"/>
              </w:rPr>
            </w:pPr>
            <w:r w:rsidRPr="001738AF">
              <w:rPr>
                <w:rFonts w:ascii="Calibri" w:hAnsi="Calibri" w:cs="Calibri"/>
                <w:color w:val="000000"/>
                <w:sz w:val="18"/>
                <w:szCs w:val="18"/>
              </w:rPr>
              <w:t>4511 Dodatna ulaganja na građevinskim objektima</w:t>
            </w:r>
          </w:p>
        </w:tc>
        <w:tc>
          <w:tcPr>
            <w:tcW w:w="492" w:type="pct"/>
            <w:tcBorders>
              <w:top w:val="nil"/>
              <w:left w:val="single" w:sz="4" w:space="0" w:color="95B3D7"/>
              <w:bottom w:val="nil"/>
              <w:right w:val="single" w:sz="4" w:space="0" w:color="95B3D7"/>
            </w:tcBorders>
            <w:shd w:val="clear" w:color="auto" w:fill="auto"/>
            <w:noWrap/>
            <w:vAlign w:val="bottom"/>
            <w:hideMark/>
          </w:tcPr>
          <w:p w14:paraId="532F0EEB"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1.102.224,34</w:t>
            </w:r>
          </w:p>
        </w:tc>
        <w:tc>
          <w:tcPr>
            <w:tcW w:w="492" w:type="pct"/>
            <w:tcBorders>
              <w:top w:val="nil"/>
              <w:left w:val="nil"/>
              <w:bottom w:val="nil"/>
              <w:right w:val="nil"/>
            </w:tcBorders>
            <w:shd w:val="clear" w:color="auto" w:fill="auto"/>
            <w:noWrap/>
            <w:vAlign w:val="bottom"/>
            <w:hideMark/>
          </w:tcPr>
          <w:p w14:paraId="4F5C22C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3.586.475</w:t>
            </w:r>
          </w:p>
        </w:tc>
        <w:tc>
          <w:tcPr>
            <w:tcW w:w="492" w:type="pct"/>
            <w:tcBorders>
              <w:top w:val="nil"/>
              <w:left w:val="single" w:sz="4" w:space="0" w:color="95B3D7"/>
              <w:bottom w:val="nil"/>
              <w:right w:val="single" w:sz="4" w:space="0" w:color="95B3D7"/>
            </w:tcBorders>
            <w:shd w:val="clear" w:color="auto" w:fill="auto"/>
            <w:noWrap/>
            <w:vAlign w:val="bottom"/>
            <w:hideMark/>
          </w:tcPr>
          <w:p w14:paraId="1CAF7BEC"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720.653</w:t>
            </w:r>
          </w:p>
        </w:tc>
        <w:tc>
          <w:tcPr>
            <w:tcW w:w="492" w:type="pct"/>
            <w:tcBorders>
              <w:top w:val="nil"/>
              <w:left w:val="nil"/>
              <w:bottom w:val="nil"/>
              <w:right w:val="nil"/>
            </w:tcBorders>
            <w:shd w:val="clear" w:color="auto" w:fill="auto"/>
            <w:noWrap/>
            <w:vAlign w:val="bottom"/>
            <w:hideMark/>
          </w:tcPr>
          <w:p w14:paraId="1331CCBA"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719.213,27</w:t>
            </w:r>
          </w:p>
        </w:tc>
        <w:tc>
          <w:tcPr>
            <w:tcW w:w="403" w:type="pct"/>
            <w:tcBorders>
              <w:top w:val="nil"/>
              <w:left w:val="single" w:sz="4" w:space="0" w:color="95B3D7"/>
              <w:bottom w:val="nil"/>
              <w:right w:val="single" w:sz="4" w:space="0" w:color="95B3D7"/>
            </w:tcBorders>
            <w:shd w:val="clear" w:color="auto" w:fill="auto"/>
            <w:noWrap/>
            <w:vAlign w:val="bottom"/>
            <w:hideMark/>
          </w:tcPr>
          <w:p w14:paraId="7887B3B0"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65,25</w:t>
            </w:r>
          </w:p>
        </w:tc>
        <w:tc>
          <w:tcPr>
            <w:tcW w:w="451" w:type="pct"/>
            <w:tcBorders>
              <w:top w:val="nil"/>
              <w:left w:val="nil"/>
              <w:bottom w:val="nil"/>
              <w:right w:val="nil"/>
            </w:tcBorders>
            <w:shd w:val="clear" w:color="auto" w:fill="auto"/>
            <w:noWrap/>
            <w:vAlign w:val="bottom"/>
            <w:hideMark/>
          </w:tcPr>
          <w:p w14:paraId="09056904" w14:textId="77777777" w:rsidR="001738AF" w:rsidRPr="001738AF" w:rsidRDefault="001738AF" w:rsidP="001738AF">
            <w:pPr>
              <w:widowControl/>
              <w:autoSpaceDE/>
              <w:autoSpaceDN/>
              <w:adjustRightInd/>
              <w:jc w:val="right"/>
              <w:rPr>
                <w:rFonts w:ascii="Calibri" w:hAnsi="Calibri" w:cs="Calibri"/>
                <w:color w:val="000000"/>
                <w:sz w:val="18"/>
                <w:szCs w:val="18"/>
              </w:rPr>
            </w:pPr>
            <w:r w:rsidRPr="001738AF">
              <w:rPr>
                <w:rFonts w:ascii="Calibri" w:hAnsi="Calibri" w:cs="Calibri"/>
                <w:color w:val="000000"/>
                <w:sz w:val="18"/>
                <w:szCs w:val="18"/>
              </w:rPr>
              <w:t>99,80</w:t>
            </w:r>
          </w:p>
        </w:tc>
      </w:tr>
      <w:tr w:rsidR="001738AF" w:rsidRPr="001738AF" w14:paraId="758EDD11" w14:textId="77777777" w:rsidTr="001738AF">
        <w:trPr>
          <w:trHeight w:val="300"/>
        </w:trPr>
        <w:tc>
          <w:tcPr>
            <w:tcW w:w="2179" w:type="pct"/>
            <w:tcBorders>
              <w:top w:val="single" w:sz="4" w:space="0" w:color="366092"/>
              <w:left w:val="nil"/>
              <w:bottom w:val="single" w:sz="8" w:space="0" w:color="366092"/>
              <w:right w:val="nil"/>
            </w:tcBorders>
            <w:shd w:val="clear" w:color="auto" w:fill="auto"/>
            <w:noWrap/>
            <w:vAlign w:val="bottom"/>
            <w:hideMark/>
          </w:tcPr>
          <w:p w14:paraId="54F47368" w14:textId="77777777" w:rsidR="001738AF" w:rsidRPr="001738AF" w:rsidRDefault="001738AF" w:rsidP="001738AF">
            <w:pPr>
              <w:widowControl/>
              <w:autoSpaceDE/>
              <w:autoSpaceDN/>
              <w:adjustRightInd/>
              <w:jc w:val="left"/>
              <w:rPr>
                <w:rFonts w:ascii="Calibri" w:hAnsi="Calibri" w:cs="Calibri"/>
                <w:b/>
                <w:bCs/>
                <w:color w:val="000000"/>
                <w:sz w:val="18"/>
                <w:szCs w:val="18"/>
              </w:rPr>
            </w:pPr>
            <w:r w:rsidRPr="001738AF">
              <w:rPr>
                <w:rFonts w:ascii="Calibri" w:hAnsi="Calibri" w:cs="Calibri"/>
                <w:b/>
                <w:bCs/>
                <w:color w:val="000000"/>
                <w:sz w:val="18"/>
                <w:szCs w:val="18"/>
              </w:rPr>
              <w:t>Ukupni zbroj</w:t>
            </w:r>
          </w:p>
        </w:tc>
        <w:tc>
          <w:tcPr>
            <w:tcW w:w="492"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40FC345F"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11.042.707,23</w:t>
            </w:r>
          </w:p>
        </w:tc>
        <w:tc>
          <w:tcPr>
            <w:tcW w:w="492" w:type="pct"/>
            <w:tcBorders>
              <w:top w:val="single" w:sz="4" w:space="0" w:color="366092"/>
              <w:left w:val="nil"/>
              <w:bottom w:val="single" w:sz="8" w:space="0" w:color="366092"/>
              <w:right w:val="nil"/>
            </w:tcBorders>
            <w:shd w:val="clear" w:color="auto" w:fill="auto"/>
            <w:noWrap/>
            <w:vAlign w:val="bottom"/>
            <w:hideMark/>
          </w:tcPr>
          <w:p w14:paraId="2672075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14.406.098</w:t>
            </w:r>
          </w:p>
        </w:tc>
        <w:tc>
          <w:tcPr>
            <w:tcW w:w="492"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7F8F69FD"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11.244.276</w:t>
            </w:r>
          </w:p>
        </w:tc>
        <w:tc>
          <w:tcPr>
            <w:tcW w:w="492" w:type="pct"/>
            <w:tcBorders>
              <w:top w:val="single" w:sz="4" w:space="0" w:color="366092"/>
              <w:left w:val="nil"/>
              <w:bottom w:val="single" w:sz="8" w:space="0" w:color="366092"/>
              <w:right w:val="nil"/>
            </w:tcBorders>
            <w:shd w:val="clear" w:color="auto" w:fill="auto"/>
            <w:noWrap/>
            <w:vAlign w:val="bottom"/>
            <w:hideMark/>
          </w:tcPr>
          <w:p w14:paraId="3BE21EA0"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11.062.318,02</w:t>
            </w:r>
          </w:p>
        </w:tc>
        <w:tc>
          <w:tcPr>
            <w:tcW w:w="403"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6CBDA296"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100,18</w:t>
            </w:r>
          </w:p>
        </w:tc>
        <w:tc>
          <w:tcPr>
            <w:tcW w:w="451" w:type="pct"/>
            <w:tcBorders>
              <w:top w:val="single" w:sz="4" w:space="0" w:color="366092"/>
              <w:left w:val="nil"/>
              <w:bottom w:val="single" w:sz="8" w:space="0" w:color="366092"/>
              <w:right w:val="nil"/>
            </w:tcBorders>
            <w:shd w:val="clear" w:color="auto" w:fill="auto"/>
            <w:noWrap/>
            <w:vAlign w:val="bottom"/>
            <w:hideMark/>
          </w:tcPr>
          <w:p w14:paraId="421332C1" w14:textId="77777777" w:rsidR="001738AF" w:rsidRPr="001738AF" w:rsidRDefault="001738AF" w:rsidP="001738AF">
            <w:pPr>
              <w:widowControl/>
              <w:autoSpaceDE/>
              <w:autoSpaceDN/>
              <w:adjustRightInd/>
              <w:jc w:val="right"/>
              <w:rPr>
                <w:rFonts w:ascii="Calibri" w:hAnsi="Calibri" w:cs="Calibri"/>
                <w:b/>
                <w:bCs/>
                <w:color w:val="000000"/>
                <w:sz w:val="18"/>
                <w:szCs w:val="18"/>
              </w:rPr>
            </w:pPr>
            <w:r w:rsidRPr="001738AF">
              <w:rPr>
                <w:rFonts w:ascii="Calibri" w:hAnsi="Calibri" w:cs="Calibri"/>
                <w:b/>
                <w:bCs/>
                <w:color w:val="000000"/>
                <w:sz w:val="18"/>
                <w:szCs w:val="18"/>
              </w:rPr>
              <w:t>98,38</w:t>
            </w:r>
          </w:p>
        </w:tc>
      </w:tr>
    </w:tbl>
    <w:p w14:paraId="2B0A3E31" w14:textId="77777777" w:rsidR="00D86DDC" w:rsidRPr="00D86DDC" w:rsidRDefault="00D86DDC" w:rsidP="00D86DDC">
      <w:pPr>
        <w:widowControl/>
        <w:autoSpaceDE/>
        <w:autoSpaceDN/>
        <w:adjustRightInd/>
        <w:jc w:val="left"/>
        <w:rPr>
          <w:rFonts w:cs="Arial"/>
          <w:b/>
          <w:bCs/>
          <w:color w:val="000000"/>
          <w:sz w:val="18"/>
          <w:szCs w:val="18"/>
        </w:rPr>
      </w:pPr>
    </w:p>
    <w:p w14:paraId="68BFDFA6" w14:textId="77777777" w:rsidR="00D86DDC" w:rsidRDefault="00D86DDC">
      <w:pPr>
        <w:widowControl/>
        <w:autoSpaceDE/>
        <w:autoSpaceDN/>
        <w:adjustRightInd/>
        <w:spacing w:after="160" w:line="259" w:lineRule="auto"/>
        <w:jc w:val="left"/>
        <w:rPr>
          <w:rFonts w:cs="Arial"/>
          <w:color w:val="000000" w:themeColor="text1"/>
        </w:rPr>
      </w:pPr>
      <w:r>
        <w:rPr>
          <w:rFonts w:cs="Arial"/>
          <w:color w:val="000000" w:themeColor="text1"/>
        </w:rPr>
        <w:br w:type="page"/>
      </w:r>
    </w:p>
    <w:p w14:paraId="18B44AAC" w14:textId="045019F1" w:rsidR="003E687E" w:rsidRDefault="003E687E" w:rsidP="003E687E">
      <w:pPr>
        <w:spacing w:line="276" w:lineRule="auto"/>
        <w:rPr>
          <w:rFonts w:cs="Arial"/>
          <w:color w:val="000000" w:themeColor="text1"/>
        </w:rPr>
      </w:pPr>
      <w:r w:rsidRPr="003C6EE2">
        <w:rPr>
          <w:rFonts w:cs="Arial"/>
          <w:color w:val="000000" w:themeColor="text1"/>
        </w:rPr>
        <w:lastRenderedPageBreak/>
        <w:t xml:space="preserve">Tablica 3 </w:t>
      </w:r>
    </w:p>
    <w:tbl>
      <w:tblPr>
        <w:tblW w:w="5000" w:type="pct"/>
        <w:tblLook w:val="04A0" w:firstRow="1" w:lastRow="0" w:firstColumn="1" w:lastColumn="0" w:noHBand="0" w:noVBand="1"/>
      </w:tblPr>
      <w:tblGrid>
        <w:gridCol w:w="6266"/>
        <w:gridCol w:w="1413"/>
        <w:gridCol w:w="1413"/>
        <w:gridCol w:w="1413"/>
        <w:gridCol w:w="1413"/>
        <w:gridCol w:w="1454"/>
        <w:gridCol w:w="1198"/>
      </w:tblGrid>
      <w:tr w:rsidR="001738AF" w:rsidRPr="001738AF" w14:paraId="30A61BDC" w14:textId="77777777" w:rsidTr="001738AF">
        <w:trPr>
          <w:trHeight w:val="240"/>
        </w:trPr>
        <w:tc>
          <w:tcPr>
            <w:tcW w:w="5000" w:type="pct"/>
            <w:gridSpan w:val="7"/>
            <w:tcBorders>
              <w:top w:val="nil"/>
              <w:left w:val="nil"/>
              <w:bottom w:val="nil"/>
              <w:right w:val="nil"/>
            </w:tcBorders>
            <w:shd w:val="clear" w:color="auto" w:fill="auto"/>
            <w:vAlign w:val="center"/>
            <w:hideMark/>
          </w:tcPr>
          <w:p w14:paraId="5E6DAD81"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1.2. RAČUN PRIHODA I RASHODA</w:t>
            </w:r>
          </w:p>
        </w:tc>
      </w:tr>
      <w:tr w:rsidR="001738AF" w:rsidRPr="001738AF" w14:paraId="40F37A0E" w14:textId="77777777" w:rsidTr="001738AF">
        <w:trPr>
          <w:trHeight w:val="240"/>
        </w:trPr>
        <w:tc>
          <w:tcPr>
            <w:tcW w:w="2150" w:type="pct"/>
            <w:tcBorders>
              <w:top w:val="nil"/>
              <w:left w:val="nil"/>
              <w:bottom w:val="nil"/>
              <w:right w:val="nil"/>
            </w:tcBorders>
            <w:shd w:val="clear" w:color="auto" w:fill="auto"/>
            <w:noWrap/>
            <w:vAlign w:val="bottom"/>
            <w:hideMark/>
          </w:tcPr>
          <w:p w14:paraId="6F879345" w14:textId="77777777" w:rsidR="001738AF" w:rsidRPr="001738AF" w:rsidRDefault="001738AF" w:rsidP="001738AF">
            <w:pPr>
              <w:widowControl/>
              <w:autoSpaceDE/>
              <w:autoSpaceDN/>
              <w:adjustRightInd/>
              <w:jc w:val="center"/>
              <w:rPr>
                <w:rFonts w:cs="Arial"/>
                <w:b/>
                <w:bCs/>
                <w:color w:val="000000"/>
                <w:sz w:val="18"/>
                <w:szCs w:val="18"/>
              </w:rPr>
            </w:pPr>
          </w:p>
        </w:tc>
        <w:tc>
          <w:tcPr>
            <w:tcW w:w="485" w:type="pct"/>
            <w:tcBorders>
              <w:top w:val="nil"/>
              <w:left w:val="nil"/>
              <w:bottom w:val="nil"/>
              <w:right w:val="nil"/>
            </w:tcBorders>
            <w:shd w:val="clear" w:color="auto" w:fill="auto"/>
            <w:noWrap/>
            <w:vAlign w:val="bottom"/>
            <w:hideMark/>
          </w:tcPr>
          <w:p w14:paraId="3F29C1CA"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3FFC48CF"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4C8212A7"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35126843" w14:textId="77777777" w:rsidR="001738AF" w:rsidRPr="001738AF" w:rsidRDefault="001738AF" w:rsidP="001738AF">
            <w:pPr>
              <w:widowControl/>
              <w:autoSpaceDE/>
              <w:autoSpaceDN/>
              <w:adjustRightInd/>
              <w:jc w:val="left"/>
              <w:rPr>
                <w:rFonts w:ascii="Times New Roman" w:hAnsi="Times New Roman"/>
                <w:sz w:val="20"/>
                <w:szCs w:val="20"/>
              </w:rPr>
            </w:pPr>
          </w:p>
        </w:tc>
        <w:tc>
          <w:tcPr>
            <w:tcW w:w="499" w:type="pct"/>
            <w:tcBorders>
              <w:top w:val="nil"/>
              <w:left w:val="nil"/>
              <w:bottom w:val="nil"/>
              <w:right w:val="nil"/>
            </w:tcBorders>
            <w:shd w:val="clear" w:color="auto" w:fill="auto"/>
            <w:noWrap/>
            <w:vAlign w:val="bottom"/>
            <w:hideMark/>
          </w:tcPr>
          <w:p w14:paraId="1E3692C8" w14:textId="77777777" w:rsidR="001738AF" w:rsidRPr="001738AF" w:rsidRDefault="001738AF" w:rsidP="001738AF">
            <w:pPr>
              <w:widowControl/>
              <w:autoSpaceDE/>
              <w:autoSpaceDN/>
              <w:adjustRightInd/>
              <w:jc w:val="left"/>
              <w:rPr>
                <w:rFonts w:ascii="Times New Roman" w:hAnsi="Times New Roman"/>
                <w:sz w:val="20"/>
                <w:szCs w:val="20"/>
              </w:rPr>
            </w:pPr>
          </w:p>
        </w:tc>
        <w:tc>
          <w:tcPr>
            <w:tcW w:w="411" w:type="pct"/>
            <w:tcBorders>
              <w:top w:val="nil"/>
              <w:left w:val="nil"/>
              <w:bottom w:val="nil"/>
              <w:right w:val="nil"/>
            </w:tcBorders>
            <w:shd w:val="clear" w:color="auto" w:fill="auto"/>
            <w:noWrap/>
            <w:vAlign w:val="bottom"/>
            <w:hideMark/>
          </w:tcPr>
          <w:p w14:paraId="2EA9BE3A"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70003029" w14:textId="77777777" w:rsidTr="001738AF">
        <w:trPr>
          <w:trHeight w:val="240"/>
        </w:trPr>
        <w:tc>
          <w:tcPr>
            <w:tcW w:w="5000" w:type="pct"/>
            <w:gridSpan w:val="7"/>
            <w:tcBorders>
              <w:top w:val="nil"/>
              <w:left w:val="nil"/>
              <w:bottom w:val="nil"/>
              <w:right w:val="nil"/>
            </w:tcBorders>
            <w:shd w:val="clear" w:color="auto" w:fill="auto"/>
            <w:vAlign w:val="center"/>
            <w:hideMark/>
          </w:tcPr>
          <w:p w14:paraId="579E53C2" w14:textId="77777777" w:rsidR="001738AF" w:rsidRPr="001738AF" w:rsidRDefault="001738AF" w:rsidP="001738AF">
            <w:pPr>
              <w:widowControl/>
              <w:autoSpaceDE/>
              <w:autoSpaceDN/>
              <w:adjustRightInd/>
              <w:jc w:val="center"/>
              <w:rPr>
                <w:rFonts w:cs="Arial"/>
                <w:b/>
                <w:bCs/>
                <w:color w:val="000000"/>
                <w:sz w:val="18"/>
                <w:szCs w:val="18"/>
              </w:rPr>
            </w:pPr>
            <w:r w:rsidRPr="001738AF">
              <w:rPr>
                <w:rFonts w:cs="Arial"/>
                <w:b/>
                <w:bCs/>
                <w:color w:val="000000"/>
                <w:sz w:val="18"/>
                <w:szCs w:val="18"/>
              </w:rPr>
              <w:t>1.2.2. IZVJEŠTAJ O PRIHODIMA I RASHODIMA PREMA IZVORIMA FINANCIRANJA</w:t>
            </w:r>
          </w:p>
        </w:tc>
      </w:tr>
      <w:tr w:rsidR="001738AF" w:rsidRPr="001738AF" w14:paraId="13569AB0" w14:textId="77777777" w:rsidTr="001738AF">
        <w:trPr>
          <w:trHeight w:val="240"/>
        </w:trPr>
        <w:tc>
          <w:tcPr>
            <w:tcW w:w="2150" w:type="pct"/>
            <w:tcBorders>
              <w:top w:val="nil"/>
              <w:left w:val="nil"/>
              <w:bottom w:val="nil"/>
              <w:right w:val="nil"/>
            </w:tcBorders>
            <w:shd w:val="clear" w:color="auto" w:fill="auto"/>
            <w:vAlign w:val="center"/>
            <w:hideMark/>
          </w:tcPr>
          <w:p w14:paraId="52448A4E" w14:textId="77777777" w:rsidR="001738AF" w:rsidRPr="001738AF" w:rsidRDefault="001738AF" w:rsidP="001738AF">
            <w:pPr>
              <w:widowControl/>
              <w:autoSpaceDE/>
              <w:autoSpaceDN/>
              <w:adjustRightInd/>
              <w:jc w:val="center"/>
              <w:rPr>
                <w:rFonts w:cs="Arial"/>
                <w:b/>
                <w:bCs/>
                <w:color w:val="000000"/>
                <w:sz w:val="18"/>
                <w:szCs w:val="18"/>
              </w:rPr>
            </w:pPr>
          </w:p>
        </w:tc>
        <w:tc>
          <w:tcPr>
            <w:tcW w:w="485" w:type="pct"/>
            <w:tcBorders>
              <w:top w:val="nil"/>
              <w:left w:val="nil"/>
              <w:bottom w:val="nil"/>
              <w:right w:val="nil"/>
            </w:tcBorders>
            <w:shd w:val="clear" w:color="auto" w:fill="auto"/>
            <w:noWrap/>
            <w:vAlign w:val="bottom"/>
            <w:hideMark/>
          </w:tcPr>
          <w:p w14:paraId="2A7AC474"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42CF621E"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28F3F9C8"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32C2422D" w14:textId="77777777" w:rsidR="001738AF" w:rsidRPr="001738AF" w:rsidRDefault="001738AF" w:rsidP="001738AF">
            <w:pPr>
              <w:widowControl/>
              <w:autoSpaceDE/>
              <w:autoSpaceDN/>
              <w:adjustRightInd/>
              <w:jc w:val="left"/>
              <w:rPr>
                <w:rFonts w:ascii="Times New Roman" w:hAnsi="Times New Roman"/>
                <w:sz w:val="20"/>
                <w:szCs w:val="20"/>
              </w:rPr>
            </w:pPr>
          </w:p>
        </w:tc>
        <w:tc>
          <w:tcPr>
            <w:tcW w:w="499" w:type="pct"/>
            <w:tcBorders>
              <w:top w:val="nil"/>
              <w:left w:val="nil"/>
              <w:bottom w:val="nil"/>
              <w:right w:val="nil"/>
            </w:tcBorders>
            <w:shd w:val="clear" w:color="auto" w:fill="auto"/>
            <w:vAlign w:val="center"/>
            <w:hideMark/>
          </w:tcPr>
          <w:p w14:paraId="61718DFD" w14:textId="77777777" w:rsidR="001738AF" w:rsidRPr="001738AF" w:rsidRDefault="001738AF" w:rsidP="001738AF">
            <w:pPr>
              <w:widowControl/>
              <w:autoSpaceDE/>
              <w:autoSpaceDN/>
              <w:adjustRightInd/>
              <w:jc w:val="left"/>
              <w:rPr>
                <w:rFonts w:ascii="Times New Roman" w:hAnsi="Times New Roman"/>
                <w:sz w:val="20"/>
                <w:szCs w:val="20"/>
              </w:rPr>
            </w:pPr>
          </w:p>
        </w:tc>
        <w:tc>
          <w:tcPr>
            <w:tcW w:w="411" w:type="pct"/>
            <w:tcBorders>
              <w:top w:val="nil"/>
              <w:left w:val="nil"/>
              <w:bottom w:val="nil"/>
              <w:right w:val="nil"/>
            </w:tcBorders>
            <w:shd w:val="clear" w:color="auto" w:fill="auto"/>
            <w:vAlign w:val="center"/>
            <w:hideMark/>
          </w:tcPr>
          <w:p w14:paraId="5C61145A"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73A69B15" w14:textId="77777777" w:rsidTr="001738AF">
        <w:trPr>
          <w:trHeight w:val="720"/>
        </w:trPr>
        <w:tc>
          <w:tcPr>
            <w:tcW w:w="2150"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7C790B2E"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PRIHODI</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4AAEDB39"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IZVRŠENJE 01.01. - 31.12.2022.</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311CE8C2"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IZVORNI PLAN ILI REBALANS ZA 2023.</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3D1A2628"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TEKUĆI PLAN ZA 2023.</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2F36918B"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IZVRŠENJE 01.01. - 31.12.2023.</w:t>
            </w:r>
          </w:p>
        </w:tc>
        <w:tc>
          <w:tcPr>
            <w:tcW w:w="499" w:type="pct"/>
            <w:tcBorders>
              <w:top w:val="single" w:sz="4" w:space="0" w:color="auto"/>
              <w:left w:val="nil"/>
              <w:bottom w:val="single" w:sz="4" w:space="0" w:color="auto"/>
              <w:right w:val="single" w:sz="4" w:space="0" w:color="auto"/>
            </w:tcBorders>
            <w:shd w:val="clear" w:color="000000" w:fill="92CDDC"/>
            <w:vAlign w:val="center"/>
            <w:hideMark/>
          </w:tcPr>
          <w:p w14:paraId="5B7A4023"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Indeks</w:t>
            </w:r>
          </w:p>
        </w:tc>
        <w:tc>
          <w:tcPr>
            <w:tcW w:w="411" w:type="pct"/>
            <w:tcBorders>
              <w:top w:val="single" w:sz="4" w:space="0" w:color="auto"/>
              <w:left w:val="nil"/>
              <w:bottom w:val="single" w:sz="4" w:space="0" w:color="auto"/>
              <w:right w:val="single" w:sz="4" w:space="0" w:color="auto"/>
            </w:tcBorders>
            <w:shd w:val="clear" w:color="000000" w:fill="92CDDC"/>
            <w:vAlign w:val="center"/>
            <w:hideMark/>
          </w:tcPr>
          <w:p w14:paraId="7BFB52DB"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Indeks</w:t>
            </w:r>
          </w:p>
        </w:tc>
      </w:tr>
      <w:tr w:rsidR="001738AF" w:rsidRPr="001738AF" w14:paraId="36FA47E2" w14:textId="77777777" w:rsidTr="001738AF">
        <w:trPr>
          <w:trHeight w:val="240"/>
        </w:trPr>
        <w:tc>
          <w:tcPr>
            <w:tcW w:w="2150" w:type="pct"/>
            <w:tcBorders>
              <w:top w:val="nil"/>
              <w:left w:val="single" w:sz="4" w:space="0" w:color="auto"/>
              <w:bottom w:val="single" w:sz="4" w:space="0" w:color="auto"/>
              <w:right w:val="single" w:sz="4" w:space="0" w:color="auto"/>
            </w:tcBorders>
            <w:shd w:val="clear" w:color="000000" w:fill="92CDDC"/>
            <w:noWrap/>
            <w:vAlign w:val="center"/>
            <w:hideMark/>
          </w:tcPr>
          <w:p w14:paraId="59987AD3"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 </w:t>
            </w:r>
          </w:p>
        </w:tc>
        <w:tc>
          <w:tcPr>
            <w:tcW w:w="485" w:type="pct"/>
            <w:tcBorders>
              <w:top w:val="nil"/>
              <w:left w:val="nil"/>
              <w:bottom w:val="single" w:sz="4" w:space="0" w:color="auto"/>
              <w:right w:val="single" w:sz="4" w:space="0" w:color="auto"/>
            </w:tcBorders>
            <w:shd w:val="clear" w:color="000000" w:fill="92CDDC"/>
            <w:noWrap/>
            <w:vAlign w:val="center"/>
            <w:hideMark/>
          </w:tcPr>
          <w:p w14:paraId="49ACD6C8"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1</w:t>
            </w:r>
          </w:p>
        </w:tc>
        <w:tc>
          <w:tcPr>
            <w:tcW w:w="485" w:type="pct"/>
            <w:tcBorders>
              <w:top w:val="nil"/>
              <w:left w:val="nil"/>
              <w:bottom w:val="single" w:sz="4" w:space="0" w:color="auto"/>
              <w:right w:val="single" w:sz="4" w:space="0" w:color="auto"/>
            </w:tcBorders>
            <w:shd w:val="clear" w:color="000000" w:fill="92CDDC"/>
            <w:noWrap/>
            <w:vAlign w:val="center"/>
            <w:hideMark/>
          </w:tcPr>
          <w:p w14:paraId="06B8803D"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2</w:t>
            </w:r>
          </w:p>
        </w:tc>
        <w:tc>
          <w:tcPr>
            <w:tcW w:w="485" w:type="pct"/>
            <w:tcBorders>
              <w:top w:val="nil"/>
              <w:left w:val="nil"/>
              <w:bottom w:val="single" w:sz="4" w:space="0" w:color="auto"/>
              <w:right w:val="single" w:sz="4" w:space="0" w:color="auto"/>
            </w:tcBorders>
            <w:shd w:val="clear" w:color="000000" w:fill="92CDDC"/>
            <w:noWrap/>
            <w:vAlign w:val="center"/>
            <w:hideMark/>
          </w:tcPr>
          <w:p w14:paraId="6F1C65DF"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3</w:t>
            </w:r>
          </w:p>
        </w:tc>
        <w:tc>
          <w:tcPr>
            <w:tcW w:w="485" w:type="pct"/>
            <w:tcBorders>
              <w:top w:val="nil"/>
              <w:left w:val="nil"/>
              <w:bottom w:val="single" w:sz="4" w:space="0" w:color="auto"/>
              <w:right w:val="single" w:sz="4" w:space="0" w:color="auto"/>
            </w:tcBorders>
            <w:shd w:val="clear" w:color="000000" w:fill="92CDDC"/>
            <w:noWrap/>
            <w:vAlign w:val="center"/>
            <w:hideMark/>
          </w:tcPr>
          <w:p w14:paraId="2F7D0151"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4</w:t>
            </w:r>
          </w:p>
        </w:tc>
        <w:tc>
          <w:tcPr>
            <w:tcW w:w="499" w:type="pct"/>
            <w:tcBorders>
              <w:top w:val="nil"/>
              <w:left w:val="nil"/>
              <w:bottom w:val="single" w:sz="4" w:space="0" w:color="auto"/>
              <w:right w:val="single" w:sz="4" w:space="0" w:color="auto"/>
            </w:tcBorders>
            <w:shd w:val="clear" w:color="000000" w:fill="92CDDC"/>
            <w:noWrap/>
            <w:vAlign w:val="center"/>
            <w:hideMark/>
          </w:tcPr>
          <w:p w14:paraId="69A84A14"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5 (4/1)*100</w:t>
            </w:r>
          </w:p>
        </w:tc>
        <w:tc>
          <w:tcPr>
            <w:tcW w:w="411" w:type="pct"/>
            <w:tcBorders>
              <w:top w:val="nil"/>
              <w:left w:val="nil"/>
              <w:bottom w:val="single" w:sz="4" w:space="0" w:color="auto"/>
              <w:right w:val="single" w:sz="4" w:space="0" w:color="auto"/>
            </w:tcBorders>
            <w:shd w:val="clear" w:color="000000" w:fill="92CDDC"/>
            <w:noWrap/>
            <w:vAlign w:val="center"/>
            <w:hideMark/>
          </w:tcPr>
          <w:p w14:paraId="782ED04E"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6 (4/3)*100</w:t>
            </w:r>
          </w:p>
        </w:tc>
      </w:tr>
      <w:tr w:rsidR="001738AF" w:rsidRPr="001738AF" w14:paraId="6C7B7052" w14:textId="77777777" w:rsidTr="001738AF">
        <w:trPr>
          <w:trHeight w:val="300"/>
        </w:trPr>
        <w:tc>
          <w:tcPr>
            <w:tcW w:w="2150" w:type="pct"/>
            <w:tcBorders>
              <w:top w:val="single" w:sz="4" w:space="0" w:color="95B3D7"/>
              <w:left w:val="nil"/>
              <w:bottom w:val="single" w:sz="4" w:space="0" w:color="95B3D7"/>
              <w:right w:val="nil"/>
            </w:tcBorders>
            <w:shd w:val="clear" w:color="DCE6F1" w:fill="DCE6F1"/>
            <w:noWrap/>
            <w:vAlign w:val="bottom"/>
            <w:hideMark/>
          </w:tcPr>
          <w:p w14:paraId="3AA47335"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RAZDJEL 185 DRŽAVNI URED ZA REVIZIJU</w:t>
            </w:r>
          </w:p>
        </w:tc>
        <w:tc>
          <w:tcPr>
            <w:tcW w:w="485"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51E48461"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10.836.049,14</w:t>
            </w:r>
          </w:p>
        </w:tc>
        <w:tc>
          <w:tcPr>
            <w:tcW w:w="485" w:type="pct"/>
            <w:tcBorders>
              <w:top w:val="single" w:sz="4" w:space="0" w:color="95B3D7"/>
              <w:left w:val="nil"/>
              <w:bottom w:val="single" w:sz="4" w:space="0" w:color="95B3D7"/>
              <w:right w:val="nil"/>
            </w:tcBorders>
            <w:shd w:val="clear" w:color="DCE6F1" w:fill="DCE6F1"/>
            <w:noWrap/>
            <w:vAlign w:val="bottom"/>
            <w:hideMark/>
          </w:tcPr>
          <w:p w14:paraId="46B76C0F"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14.309.247</w:t>
            </w:r>
          </w:p>
        </w:tc>
        <w:tc>
          <w:tcPr>
            <w:tcW w:w="485"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05B947BB"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11.147.425</w:t>
            </w:r>
          </w:p>
        </w:tc>
        <w:tc>
          <w:tcPr>
            <w:tcW w:w="485" w:type="pct"/>
            <w:tcBorders>
              <w:top w:val="single" w:sz="4" w:space="0" w:color="95B3D7"/>
              <w:left w:val="nil"/>
              <w:bottom w:val="single" w:sz="4" w:space="0" w:color="95B3D7"/>
              <w:right w:val="nil"/>
            </w:tcBorders>
            <w:shd w:val="clear" w:color="DCE6F1" w:fill="DCE6F1"/>
            <w:noWrap/>
            <w:vAlign w:val="bottom"/>
            <w:hideMark/>
          </w:tcPr>
          <w:p w14:paraId="300180F7"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11.030.221,04</w:t>
            </w:r>
          </w:p>
        </w:tc>
        <w:tc>
          <w:tcPr>
            <w:tcW w:w="499"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44BD47C4"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101,79</w:t>
            </w:r>
          </w:p>
        </w:tc>
        <w:tc>
          <w:tcPr>
            <w:tcW w:w="411" w:type="pct"/>
            <w:tcBorders>
              <w:top w:val="single" w:sz="4" w:space="0" w:color="95B3D7"/>
              <w:left w:val="nil"/>
              <w:bottom w:val="single" w:sz="4" w:space="0" w:color="95B3D7"/>
              <w:right w:val="nil"/>
            </w:tcBorders>
            <w:shd w:val="clear" w:color="DCE6F1" w:fill="DCE6F1"/>
            <w:noWrap/>
            <w:vAlign w:val="bottom"/>
            <w:hideMark/>
          </w:tcPr>
          <w:p w14:paraId="2C77015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98,95</w:t>
            </w:r>
          </w:p>
        </w:tc>
      </w:tr>
      <w:tr w:rsidR="001738AF" w:rsidRPr="001738AF" w14:paraId="29D3255E" w14:textId="77777777" w:rsidTr="001738AF">
        <w:trPr>
          <w:trHeight w:val="300"/>
        </w:trPr>
        <w:tc>
          <w:tcPr>
            <w:tcW w:w="2150" w:type="pct"/>
            <w:tcBorders>
              <w:top w:val="nil"/>
              <w:left w:val="nil"/>
              <w:bottom w:val="nil"/>
              <w:right w:val="nil"/>
            </w:tcBorders>
            <w:shd w:val="clear" w:color="auto" w:fill="auto"/>
            <w:noWrap/>
            <w:vAlign w:val="bottom"/>
            <w:hideMark/>
          </w:tcPr>
          <w:p w14:paraId="5690F472"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1 Opći prihodi i primici</w:t>
            </w:r>
          </w:p>
        </w:tc>
        <w:tc>
          <w:tcPr>
            <w:tcW w:w="485" w:type="pct"/>
            <w:tcBorders>
              <w:top w:val="nil"/>
              <w:left w:val="single" w:sz="4" w:space="0" w:color="95B3D7"/>
              <w:bottom w:val="nil"/>
              <w:right w:val="single" w:sz="4" w:space="0" w:color="95B3D7"/>
            </w:tcBorders>
            <w:shd w:val="clear" w:color="auto" w:fill="auto"/>
            <w:noWrap/>
            <w:vAlign w:val="bottom"/>
            <w:hideMark/>
          </w:tcPr>
          <w:p w14:paraId="11FEA09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9.457.428,68</w:t>
            </w:r>
          </w:p>
        </w:tc>
        <w:tc>
          <w:tcPr>
            <w:tcW w:w="485" w:type="pct"/>
            <w:tcBorders>
              <w:top w:val="nil"/>
              <w:left w:val="nil"/>
              <w:bottom w:val="nil"/>
              <w:right w:val="nil"/>
            </w:tcBorders>
            <w:shd w:val="clear" w:color="auto" w:fill="auto"/>
            <w:noWrap/>
            <w:vAlign w:val="bottom"/>
            <w:hideMark/>
          </w:tcPr>
          <w:p w14:paraId="70639F43"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13.288.679</w:t>
            </w:r>
          </w:p>
        </w:tc>
        <w:tc>
          <w:tcPr>
            <w:tcW w:w="485" w:type="pct"/>
            <w:tcBorders>
              <w:top w:val="nil"/>
              <w:left w:val="single" w:sz="4" w:space="0" w:color="95B3D7"/>
              <w:bottom w:val="nil"/>
              <w:right w:val="single" w:sz="4" w:space="0" w:color="95B3D7"/>
            </w:tcBorders>
            <w:shd w:val="clear" w:color="auto" w:fill="auto"/>
            <w:noWrap/>
            <w:vAlign w:val="bottom"/>
            <w:hideMark/>
          </w:tcPr>
          <w:p w14:paraId="38E1C873"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10.687.266</w:t>
            </w:r>
          </w:p>
        </w:tc>
        <w:tc>
          <w:tcPr>
            <w:tcW w:w="485" w:type="pct"/>
            <w:tcBorders>
              <w:top w:val="nil"/>
              <w:left w:val="nil"/>
              <w:bottom w:val="nil"/>
              <w:right w:val="nil"/>
            </w:tcBorders>
            <w:shd w:val="clear" w:color="auto" w:fill="auto"/>
            <w:noWrap/>
            <w:vAlign w:val="bottom"/>
            <w:hideMark/>
          </w:tcPr>
          <w:p w14:paraId="48D3A80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10.570.142,95</w:t>
            </w:r>
          </w:p>
        </w:tc>
        <w:tc>
          <w:tcPr>
            <w:tcW w:w="499" w:type="pct"/>
            <w:tcBorders>
              <w:top w:val="nil"/>
              <w:left w:val="single" w:sz="4" w:space="0" w:color="95B3D7"/>
              <w:bottom w:val="nil"/>
              <w:right w:val="single" w:sz="4" w:space="0" w:color="95B3D7"/>
            </w:tcBorders>
            <w:shd w:val="clear" w:color="auto" w:fill="auto"/>
            <w:noWrap/>
            <w:vAlign w:val="bottom"/>
            <w:hideMark/>
          </w:tcPr>
          <w:p w14:paraId="7AE24D50"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111,77</w:t>
            </w:r>
          </w:p>
        </w:tc>
        <w:tc>
          <w:tcPr>
            <w:tcW w:w="411" w:type="pct"/>
            <w:tcBorders>
              <w:top w:val="nil"/>
              <w:left w:val="nil"/>
              <w:bottom w:val="nil"/>
              <w:right w:val="nil"/>
            </w:tcBorders>
            <w:shd w:val="clear" w:color="auto" w:fill="auto"/>
            <w:noWrap/>
            <w:vAlign w:val="bottom"/>
            <w:hideMark/>
          </w:tcPr>
          <w:p w14:paraId="56BCF36B"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98,90</w:t>
            </w:r>
          </w:p>
        </w:tc>
      </w:tr>
      <w:tr w:rsidR="001738AF" w:rsidRPr="001738AF" w14:paraId="6C437F9C"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244D444B"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11 OPĆI PRIHODI I PRIMICI</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341AD1D"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9.457.428,68</w:t>
            </w:r>
          </w:p>
        </w:tc>
        <w:tc>
          <w:tcPr>
            <w:tcW w:w="485" w:type="pct"/>
            <w:tcBorders>
              <w:top w:val="single" w:sz="4" w:space="0" w:color="95B3D7"/>
              <w:left w:val="nil"/>
              <w:bottom w:val="single" w:sz="4" w:space="0" w:color="95B3D7"/>
              <w:right w:val="nil"/>
            </w:tcBorders>
            <w:shd w:val="clear" w:color="auto" w:fill="auto"/>
            <w:noWrap/>
            <w:vAlign w:val="bottom"/>
            <w:hideMark/>
          </w:tcPr>
          <w:p w14:paraId="499B1065"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13.288.679</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CD0CAE1"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10.687.266</w:t>
            </w:r>
          </w:p>
        </w:tc>
        <w:tc>
          <w:tcPr>
            <w:tcW w:w="485" w:type="pct"/>
            <w:tcBorders>
              <w:top w:val="single" w:sz="4" w:space="0" w:color="95B3D7"/>
              <w:left w:val="nil"/>
              <w:bottom w:val="single" w:sz="4" w:space="0" w:color="95B3D7"/>
              <w:right w:val="nil"/>
            </w:tcBorders>
            <w:shd w:val="clear" w:color="auto" w:fill="auto"/>
            <w:noWrap/>
            <w:vAlign w:val="bottom"/>
            <w:hideMark/>
          </w:tcPr>
          <w:p w14:paraId="510411E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10.570.142,95</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4307210"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111,77</w:t>
            </w:r>
          </w:p>
        </w:tc>
        <w:tc>
          <w:tcPr>
            <w:tcW w:w="411" w:type="pct"/>
            <w:tcBorders>
              <w:top w:val="single" w:sz="4" w:space="0" w:color="95B3D7"/>
              <w:left w:val="nil"/>
              <w:bottom w:val="single" w:sz="4" w:space="0" w:color="95B3D7"/>
              <w:right w:val="nil"/>
            </w:tcBorders>
            <w:shd w:val="clear" w:color="auto" w:fill="auto"/>
            <w:noWrap/>
            <w:vAlign w:val="bottom"/>
            <w:hideMark/>
          </w:tcPr>
          <w:p w14:paraId="719495CB"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98,90</w:t>
            </w:r>
          </w:p>
        </w:tc>
      </w:tr>
      <w:tr w:rsidR="001738AF" w:rsidRPr="001738AF" w14:paraId="18CE80CB" w14:textId="77777777" w:rsidTr="001738AF">
        <w:trPr>
          <w:trHeight w:val="300"/>
        </w:trPr>
        <w:tc>
          <w:tcPr>
            <w:tcW w:w="2150" w:type="pct"/>
            <w:tcBorders>
              <w:top w:val="nil"/>
              <w:left w:val="nil"/>
              <w:bottom w:val="nil"/>
              <w:right w:val="nil"/>
            </w:tcBorders>
            <w:shd w:val="clear" w:color="auto" w:fill="auto"/>
            <w:noWrap/>
            <w:vAlign w:val="bottom"/>
            <w:hideMark/>
          </w:tcPr>
          <w:p w14:paraId="74836F0B"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3 Vlastiti prihodi</w:t>
            </w:r>
          </w:p>
        </w:tc>
        <w:tc>
          <w:tcPr>
            <w:tcW w:w="485" w:type="pct"/>
            <w:tcBorders>
              <w:top w:val="nil"/>
              <w:left w:val="single" w:sz="4" w:space="0" w:color="95B3D7"/>
              <w:bottom w:val="nil"/>
              <w:right w:val="single" w:sz="4" w:space="0" w:color="95B3D7"/>
            </w:tcBorders>
            <w:shd w:val="clear" w:color="auto" w:fill="auto"/>
            <w:noWrap/>
            <w:vAlign w:val="bottom"/>
            <w:hideMark/>
          </w:tcPr>
          <w:p w14:paraId="7147DE12"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489.039,09</w:t>
            </w:r>
          </w:p>
        </w:tc>
        <w:tc>
          <w:tcPr>
            <w:tcW w:w="485" w:type="pct"/>
            <w:tcBorders>
              <w:top w:val="nil"/>
              <w:left w:val="nil"/>
              <w:bottom w:val="nil"/>
              <w:right w:val="nil"/>
            </w:tcBorders>
            <w:shd w:val="clear" w:color="auto" w:fill="auto"/>
            <w:noWrap/>
            <w:vAlign w:val="bottom"/>
            <w:hideMark/>
          </w:tcPr>
          <w:p w14:paraId="6D1F5A16"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102.361</w:t>
            </w:r>
          </w:p>
        </w:tc>
        <w:tc>
          <w:tcPr>
            <w:tcW w:w="485" w:type="pct"/>
            <w:tcBorders>
              <w:top w:val="nil"/>
              <w:left w:val="single" w:sz="4" w:space="0" w:color="95B3D7"/>
              <w:bottom w:val="nil"/>
              <w:right w:val="single" w:sz="4" w:space="0" w:color="95B3D7"/>
            </w:tcBorders>
            <w:shd w:val="clear" w:color="auto" w:fill="auto"/>
            <w:noWrap/>
            <w:vAlign w:val="bottom"/>
            <w:hideMark/>
          </w:tcPr>
          <w:p w14:paraId="66D00071"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102.361</w:t>
            </w:r>
          </w:p>
        </w:tc>
        <w:tc>
          <w:tcPr>
            <w:tcW w:w="485" w:type="pct"/>
            <w:tcBorders>
              <w:top w:val="nil"/>
              <w:left w:val="nil"/>
              <w:bottom w:val="nil"/>
              <w:right w:val="nil"/>
            </w:tcBorders>
            <w:shd w:val="clear" w:color="auto" w:fill="auto"/>
            <w:noWrap/>
            <w:vAlign w:val="bottom"/>
            <w:hideMark/>
          </w:tcPr>
          <w:p w14:paraId="54ADD20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102.361,10</w:t>
            </w:r>
          </w:p>
        </w:tc>
        <w:tc>
          <w:tcPr>
            <w:tcW w:w="499" w:type="pct"/>
            <w:tcBorders>
              <w:top w:val="nil"/>
              <w:left w:val="single" w:sz="4" w:space="0" w:color="95B3D7"/>
              <w:bottom w:val="nil"/>
              <w:right w:val="single" w:sz="4" w:space="0" w:color="95B3D7"/>
            </w:tcBorders>
            <w:shd w:val="clear" w:color="auto" w:fill="auto"/>
            <w:noWrap/>
            <w:vAlign w:val="bottom"/>
            <w:hideMark/>
          </w:tcPr>
          <w:p w14:paraId="2B5F54B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20,93</w:t>
            </w:r>
          </w:p>
        </w:tc>
        <w:tc>
          <w:tcPr>
            <w:tcW w:w="411" w:type="pct"/>
            <w:tcBorders>
              <w:top w:val="nil"/>
              <w:left w:val="nil"/>
              <w:bottom w:val="nil"/>
              <w:right w:val="nil"/>
            </w:tcBorders>
            <w:shd w:val="clear" w:color="auto" w:fill="auto"/>
            <w:noWrap/>
            <w:vAlign w:val="bottom"/>
            <w:hideMark/>
          </w:tcPr>
          <w:p w14:paraId="0342128E"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100,00</w:t>
            </w:r>
          </w:p>
        </w:tc>
      </w:tr>
      <w:tr w:rsidR="001738AF" w:rsidRPr="001738AF" w14:paraId="27F5386E"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452FAFDC"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31 VLASTITI PRIHODI</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17A59A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489.039,09</w:t>
            </w:r>
          </w:p>
        </w:tc>
        <w:tc>
          <w:tcPr>
            <w:tcW w:w="485" w:type="pct"/>
            <w:tcBorders>
              <w:top w:val="single" w:sz="4" w:space="0" w:color="95B3D7"/>
              <w:left w:val="nil"/>
              <w:bottom w:val="single" w:sz="4" w:space="0" w:color="95B3D7"/>
              <w:right w:val="nil"/>
            </w:tcBorders>
            <w:shd w:val="clear" w:color="auto" w:fill="auto"/>
            <w:noWrap/>
            <w:vAlign w:val="bottom"/>
            <w:hideMark/>
          </w:tcPr>
          <w:p w14:paraId="5DCEF1A7"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102.361</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7196929"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102.361</w:t>
            </w:r>
          </w:p>
        </w:tc>
        <w:tc>
          <w:tcPr>
            <w:tcW w:w="485" w:type="pct"/>
            <w:tcBorders>
              <w:top w:val="single" w:sz="4" w:space="0" w:color="95B3D7"/>
              <w:left w:val="nil"/>
              <w:bottom w:val="single" w:sz="4" w:space="0" w:color="95B3D7"/>
              <w:right w:val="nil"/>
            </w:tcBorders>
            <w:shd w:val="clear" w:color="auto" w:fill="auto"/>
            <w:noWrap/>
            <w:vAlign w:val="bottom"/>
            <w:hideMark/>
          </w:tcPr>
          <w:p w14:paraId="54E42D66"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102.361,10</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0AE8449"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20,93</w:t>
            </w:r>
          </w:p>
        </w:tc>
        <w:tc>
          <w:tcPr>
            <w:tcW w:w="411" w:type="pct"/>
            <w:tcBorders>
              <w:top w:val="single" w:sz="4" w:space="0" w:color="95B3D7"/>
              <w:left w:val="nil"/>
              <w:bottom w:val="single" w:sz="4" w:space="0" w:color="95B3D7"/>
              <w:right w:val="nil"/>
            </w:tcBorders>
            <w:shd w:val="clear" w:color="auto" w:fill="auto"/>
            <w:noWrap/>
            <w:vAlign w:val="bottom"/>
            <w:hideMark/>
          </w:tcPr>
          <w:p w14:paraId="5215C361"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100,00</w:t>
            </w:r>
          </w:p>
        </w:tc>
      </w:tr>
      <w:tr w:rsidR="001738AF" w:rsidRPr="001738AF" w14:paraId="76799261" w14:textId="77777777" w:rsidTr="001738AF">
        <w:trPr>
          <w:trHeight w:val="300"/>
        </w:trPr>
        <w:tc>
          <w:tcPr>
            <w:tcW w:w="2150" w:type="pct"/>
            <w:tcBorders>
              <w:top w:val="nil"/>
              <w:left w:val="nil"/>
              <w:bottom w:val="nil"/>
              <w:right w:val="nil"/>
            </w:tcBorders>
            <w:shd w:val="clear" w:color="auto" w:fill="auto"/>
            <w:noWrap/>
            <w:vAlign w:val="bottom"/>
            <w:hideMark/>
          </w:tcPr>
          <w:p w14:paraId="0582A5C9"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5 Pomoći</w:t>
            </w:r>
          </w:p>
        </w:tc>
        <w:tc>
          <w:tcPr>
            <w:tcW w:w="485" w:type="pct"/>
            <w:tcBorders>
              <w:top w:val="nil"/>
              <w:left w:val="single" w:sz="4" w:space="0" w:color="95B3D7"/>
              <w:bottom w:val="nil"/>
              <w:right w:val="single" w:sz="4" w:space="0" w:color="95B3D7"/>
            </w:tcBorders>
            <w:shd w:val="clear" w:color="auto" w:fill="auto"/>
            <w:noWrap/>
            <w:vAlign w:val="bottom"/>
            <w:hideMark/>
          </w:tcPr>
          <w:p w14:paraId="001ED0FD"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889.581,37</w:t>
            </w:r>
          </w:p>
        </w:tc>
        <w:tc>
          <w:tcPr>
            <w:tcW w:w="485" w:type="pct"/>
            <w:tcBorders>
              <w:top w:val="nil"/>
              <w:left w:val="nil"/>
              <w:bottom w:val="nil"/>
              <w:right w:val="nil"/>
            </w:tcBorders>
            <w:shd w:val="clear" w:color="auto" w:fill="auto"/>
            <w:noWrap/>
            <w:vAlign w:val="bottom"/>
            <w:hideMark/>
          </w:tcPr>
          <w:p w14:paraId="3944198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918.207</w:t>
            </w:r>
          </w:p>
        </w:tc>
        <w:tc>
          <w:tcPr>
            <w:tcW w:w="485" w:type="pct"/>
            <w:tcBorders>
              <w:top w:val="nil"/>
              <w:left w:val="single" w:sz="4" w:space="0" w:color="95B3D7"/>
              <w:bottom w:val="nil"/>
              <w:right w:val="single" w:sz="4" w:space="0" w:color="95B3D7"/>
            </w:tcBorders>
            <w:shd w:val="clear" w:color="auto" w:fill="auto"/>
            <w:noWrap/>
            <w:vAlign w:val="bottom"/>
            <w:hideMark/>
          </w:tcPr>
          <w:p w14:paraId="049442EA"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357.798</w:t>
            </w:r>
          </w:p>
        </w:tc>
        <w:tc>
          <w:tcPr>
            <w:tcW w:w="485" w:type="pct"/>
            <w:tcBorders>
              <w:top w:val="nil"/>
              <w:left w:val="nil"/>
              <w:bottom w:val="nil"/>
              <w:right w:val="nil"/>
            </w:tcBorders>
            <w:shd w:val="clear" w:color="auto" w:fill="auto"/>
            <w:noWrap/>
            <w:vAlign w:val="bottom"/>
            <w:hideMark/>
          </w:tcPr>
          <w:p w14:paraId="46D7B7F7"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357.716,99</w:t>
            </w:r>
          </w:p>
        </w:tc>
        <w:tc>
          <w:tcPr>
            <w:tcW w:w="499" w:type="pct"/>
            <w:tcBorders>
              <w:top w:val="nil"/>
              <w:left w:val="single" w:sz="4" w:space="0" w:color="95B3D7"/>
              <w:bottom w:val="nil"/>
              <w:right w:val="single" w:sz="4" w:space="0" w:color="95B3D7"/>
            </w:tcBorders>
            <w:shd w:val="clear" w:color="auto" w:fill="auto"/>
            <w:noWrap/>
            <w:vAlign w:val="bottom"/>
            <w:hideMark/>
          </w:tcPr>
          <w:p w14:paraId="5CB957F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40,21</w:t>
            </w:r>
          </w:p>
        </w:tc>
        <w:tc>
          <w:tcPr>
            <w:tcW w:w="411" w:type="pct"/>
            <w:tcBorders>
              <w:top w:val="nil"/>
              <w:left w:val="nil"/>
              <w:bottom w:val="nil"/>
              <w:right w:val="nil"/>
            </w:tcBorders>
            <w:shd w:val="clear" w:color="auto" w:fill="auto"/>
            <w:noWrap/>
            <w:vAlign w:val="bottom"/>
            <w:hideMark/>
          </w:tcPr>
          <w:p w14:paraId="4D70ABBF"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99,98</w:t>
            </w:r>
          </w:p>
        </w:tc>
      </w:tr>
      <w:tr w:rsidR="001738AF" w:rsidRPr="001738AF" w14:paraId="0ED34C8B"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30F184D5"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5761 FOND SOLIDARNOSTI EU - potres ožujak 2020.</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C81A0F1"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889.581,37</w:t>
            </w:r>
          </w:p>
        </w:tc>
        <w:tc>
          <w:tcPr>
            <w:tcW w:w="485" w:type="pct"/>
            <w:tcBorders>
              <w:top w:val="single" w:sz="4" w:space="0" w:color="95B3D7"/>
              <w:left w:val="nil"/>
              <w:bottom w:val="single" w:sz="4" w:space="0" w:color="95B3D7"/>
              <w:right w:val="nil"/>
            </w:tcBorders>
            <w:shd w:val="clear" w:color="auto" w:fill="auto"/>
            <w:noWrap/>
            <w:vAlign w:val="bottom"/>
            <w:hideMark/>
          </w:tcPr>
          <w:p w14:paraId="540814EB"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918.207</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5174D44"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357.798</w:t>
            </w:r>
          </w:p>
        </w:tc>
        <w:tc>
          <w:tcPr>
            <w:tcW w:w="485" w:type="pct"/>
            <w:tcBorders>
              <w:top w:val="single" w:sz="4" w:space="0" w:color="95B3D7"/>
              <w:left w:val="nil"/>
              <w:bottom w:val="single" w:sz="4" w:space="0" w:color="95B3D7"/>
              <w:right w:val="nil"/>
            </w:tcBorders>
            <w:shd w:val="clear" w:color="auto" w:fill="auto"/>
            <w:noWrap/>
            <w:vAlign w:val="bottom"/>
            <w:hideMark/>
          </w:tcPr>
          <w:p w14:paraId="79FC17FF"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357.716,99</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73179D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40,21</w:t>
            </w:r>
          </w:p>
        </w:tc>
        <w:tc>
          <w:tcPr>
            <w:tcW w:w="411" w:type="pct"/>
            <w:tcBorders>
              <w:top w:val="single" w:sz="4" w:space="0" w:color="95B3D7"/>
              <w:left w:val="nil"/>
              <w:bottom w:val="single" w:sz="4" w:space="0" w:color="95B3D7"/>
              <w:right w:val="nil"/>
            </w:tcBorders>
            <w:shd w:val="clear" w:color="auto" w:fill="auto"/>
            <w:noWrap/>
            <w:vAlign w:val="bottom"/>
            <w:hideMark/>
          </w:tcPr>
          <w:p w14:paraId="201CE03D"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99,98</w:t>
            </w:r>
          </w:p>
        </w:tc>
      </w:tr>
      <w:tr w:rsidR="001738AF" w:rsidRPr="001738AF" w14:paraId="0802256D" w14:textId="77777777" w:rsidTr="001738AF">
        <w:trPr>
          <w:trHeight w:val="300"/>
        </w:trPr>
        <w:tc>
          <w:tcPr>
            <w:tcW w:w="2150" w:type="pct"/>
            <w:tcBorders>
              <w:top w:val="single" w:sz="4" w:space="0" w:color="366092"/>
              <w:left w:val="nil"/>
              <w:bottom w:val="single" w:sz="8" w:space="0" w:color="366092"/>
              <w:right w:val="nil"/>
            </w:tcBorders>
            <w:shd w:val="clear" w:color="auto" w:fill="auto"/>
            <w:noWrap/>
            <w:vAlign w:val="bottom"/>
            <w:hideMark/>
          </w:tcPr>
          <w:p w14:paraId="5B2C35CE"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Ukupni zbroj</w:t>
            </w:r>
          </w:p>
        </w:tc>
        <w:tc>
          <w:tcPr>
            <w:tcW w:w="485"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4A18FA5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10.836.049,14</w:t>
            </w:r>
          </w:p>
        </w:tc>
        <w:tc>
          <w:tcPr>
            <w:tcW w:w="485" w:type="pct"/>
            <w:tcBorders>
              <w:top w:val="single" w:sz="4" w:space="0" w:color="366092"/>
              <w:left w:val="nil"/>
              <w:bottom w:val="single" w:sz="8" w:space="0" w:color="366092"/>
              <w:right w:val="nil"/>
            </w:tcBorders>
            <w:shd w:val="clear" w:color="auto" w:fill="auto"/>
            <w:noWrap/>
            <w:vAlign w:val="bottom"/>
            <w:hideMark/>
          </w:tcPr>
          <w:p w14:paraId="3B49125B"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14.309.247</w:t>
            </w:r>
          </w:p>
        </w:tc>
        <w:tc>
          <w:tcPr>
            <w:tcW w:w="485"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7D5207B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11.147.425</w:t>
            </w:r>
          </w:p>
        </w:tc>
        <w:tc>
          <w:tcPr>
            <w:tcW w:w="485" w:type="pct"/>
            <w:tcBorders>
              <w:top w:val="single" w:sz="4" w:space="0" w:color="366092"/>
              <w:left w:val="nil"/>
              <w:bottom w:val="single" w:sz="8" w:space="0" w:color="366092"/>
              <w:right w:val="nil"/>
            </w:tcBorders>
            <w:shd w:val="clear" w:color="auto" w:fill="auto"/>
            <w:noWrap/>
            <w:vAlign w:val="bottom"/>
            <w:hideMark/>
          </w:tcPr>
          <w:p w14:paraId="4EFF15CE"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11.030.221,04</w:t>
            </w:r>
          </w:p>
        </w:tc>
        <w:tc>
          <w:tcPr>
            <w:tcW w:w="499"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2AF45255"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101,79</w:t>
            </w:r>
          </w:p>
        </w:tc>
        <w:tc>
          <w:tcPr>
            <w:tcW w:w="411" w:type="pct"/>
            <w:tcBorders>
              <w:top w:val="single" w:sz="4" w:space="0" w:color="366092"/>
              <w:left w:val="nil"/>
              <w:bottom w:val="single" w:sz="8" w:space="0" w:color="366092"/>
              <w:right w:val="nil"/>
            </w:tcBorders>
            <w:shd w:val="clear" w:color="auto" w:fill="auto"/>
            <w:noWrap/>
            <w:vAlign w:val="bottom"/>
            <w:hideMark/>
          </w:tcPr>
          <w:p w14:paraId="7A076031"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98,95</w:t>
            </w:r>
          </w:p>
        </w:tc>
      </w:tr>
      <w:tr w:rsidR="001738AF" w:rsidRPr="001738AF" w14:paraId="1F1AE41E" w14:textId="77777777" w:rsidTr="001738AF">
        <w:trPr>
          <w:trHeight w:val="435"/>
        </w:trPr>
        <w:tc>
          <w:tcPr>
            <w:tcW w:w="2150" w:type="pct"/>
            <w:tcBorders>
              <w:top w:val="nil"/>
              <w:left w:val="nil"/>
              <w:bottom w:val="nil"/>
              <w:right w:val="nil"/>
            </w:tcBorders>
            <w:shd w:val="clear" w:color="auto" w:fill="auto"/>
            <w:noWrap/>
            <w:vAlign w:val="bottom"/>
            <w:hideMark/>
          </w:tcPr>
          <w:p w14:paraId="5562702F" w14:textId="77777777" w:rsidR="001738AF" w:rsidRPr="001738AF" w:rsidRDefault="001738AF" w:rsidP="001738AF">
            <w:pPr>
              <w:widowControl/>
              <w:autoSpaceDE/>
              <w:autoSpaceDN/>
              <w:adjustRightInd/>
              <w:jc w:val="right"/>
              <w:rPr>
                <w:rFonts w:ascii="Calibri" w:hAnsi="Calibri"/>
                <w:b/>
                <w:bCs/>
                <w:color w:val="000000"/>
                <w:sz w:val="18"/>
                <w:szCs w:val="18"/>
              </w:rPr>
            </w:pPr>
          </w:p>
        </w:tc>
        <w:tc>
          <w:tcPr>
            <w:tcW w:w="485" w:type="pct"/>
            <w:tcBorders>
              <w:top w:val="nil"/>
              <w:left w:val="nil"/>
              <w:bottom w:val="nil"/>
              <w:right w:val="nil"/>
            </w:tcBorders>
            <w:shd w:val="clear" w:color="auto" w:fill="auto"/>
            <w:noWrap/>
            <w:vAlign w:val="bottom"/>
            <w:hideMark/>
          </w:tcPr>
          <w:p w14:paraId="3C768DA5"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2B24D33A"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3EC81B35" w14:textId="77777777" w:rsidR="001738AF" w:rsidRPr="001738AF" w:rsidRDefault="001738AF" w:rsidP="001738AF">
            <w:pPr>
              <w:widowControl/>
              <w:autoSpaceDE/>
              <w:autoSpaceDN/>
              <w:adjustRightInd/>
              <w:jc w:val="left"/>
              <w:rPr>
                <w:rFonts w:ascii="Times New Roman" w:hAnsi="Times New Roman"/>
                <w:sz w:val="20"/>
                <w:szCs w:val="20"/>
              </w:rPr>
            </w:pPr>
          </w:p>
        </w:tc>
        <w:tc>
          <w:tcPr>
            <w:tcW w:w="485" w:type="pct"/>
            <w:tcBorders>
              <w:top w:val="nil"/>
              <w:left w:val="nil"/>
              <w:bottom w:val="nil"/>
              <w:right w:val="nil"/>
            </w:tcBorders>
            <w:shd w:val="clear" w:color="auto" w:fill="auto"/>
            <w:noWrap/>
            <w:vAlign w:val="bottom"/>
            <w:hideMark/>
          </w:tcPr>
          <w:p w14:paraId="1DC89081" w14:textId="77777777" w:rsidR="001738AF" w:rsidRPr="001738AF" w:rsidRDefault="001738AF" w:rsidP="001738AF">
            <w:pPr>
              <w:widowControl/>
              <w:autoSpaceDE/>
              <w:autoSpaceDN/>
              <w:adjustRightInd/>
              <w:jc w:val="left"/>
              <w:rPr>
                <w:rFonts w:ascii="Times New Roman" w:hAnsi="Times New Roman"/>
                <w:sz w:val="20"/>
                <w:szCs w:val="20"/>
              </w:rPr>
            </w:pPr>
          </w:p>
        </w:tc>
        <w:tc>
          <w:tcPr>
            <w:tcW w:w="499" w:type="pct"/>
            <w:tcBorders>
              <w:top w:val="nil"/>
              <w:left w:val="nil"/>
              <w:bottom w:val="nil"/>
              <w:right w:val="nil"/>
            </w:tcBorders>
            <w:shd w:val="clear" w:color="auto" w:fill="auto"/>
            <w:noWrap/>
            <w:vAlign w:val="bottom"/>
            <w:hideMark/>
          </w:tcPr>
          <w:p w14:paraId="325C6CF2" w14:textId="77777777" w:rsidR="001738AF" w:rsidRPr="001738AF" w:rsidRDefault="001738AF" w:rsidP="001738AF">
            <w:pPr>
              <w:widowControl/>
              <w:autoSpaceDE/>
              <w:autoSpaceDN/>
              <w:adjustRightInd/>
              <w:jc w:val="left"/>
              <w:rPr>
                <w:rFonts w:ascii="Times New Roman" w:hAnsi="Times New Roman"/>
                <w:sz w:val="20"/>
                <w:szCs w:val="20"/>
              </w:rPr>
            </w:pPr>
          </w:p>
        </w:tc>
        <w:tc>
          <w:tcPr>
            <w:tcW w:w="411" w:type="pct"/>
            <w:tcBorders>
              <w:top w:val="nil"/>
              <w:left w:val="nil"/>
              <w:bottom w:val="nil"/>
              <w:right w:val="nil"/>
            </w:tcBorders>
            <w:shd w:val="clear" w:color="auto" w:fill="auto"/>
            <w:noWrap/>
            <w:vAlign w:val="bottom"/>
            <w:hideMark/>
          </w:tcPr>
          <w:p w14:paraId="1ECC4FB7" w14:textId="77777777" w:rsidR="001738AF" w:rsidRPr="001738AF" w:rsidRDefault="001738AF" w:rsidP="001738AF">
            <w:pPr>
              <w:widowControl/>
              <w:autoSpaceDE/>
              <w:autoSpaceDN/>
              <w:adjustRightInd/>
              <w:jc w:val="left"/>
              <w:rPr>
                <w:rFonts w:ascii="Times New Roman" w:hAnsi="Times New Roman"/>
                <w:sz w:val="20"/>
                <w:szCs w:val="20"/>
              </w:rPr>
            </w:pPr>
          </w:p>
        </w:tc>
      </w:tr>
      <w:tr w:rsidR="001738AF" w:rsidRPr="001738AF" w14:paraId="6D2EB848" w14:textId="77777777" w:rsidTr="001738AF">
        <w:trPr>
          <w:trHeight w:val="720"/>
        </w:trPr>
        <w:tc>
          <w:tcPr>
            <w:tcW w:w="2150"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65AE150F"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RASHODI</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626AC932"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IZVRŠENJE 01.01. - 31.12.2022.</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35B580D2"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IZVORNI PLAN ILI REBALANS ZA 2023.</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0F1BC338"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TEKUĆI PLAN ZA 2023.</w:t>
            </w:r>
          </w:p>
        </w:tc>
        <w:tc>
          <w:tcPr>
            <w:tcW w:w="485" w:type="pct"/>
            <w:tcBorders>
              <w:top w:val="single" w:sz="4" w:space="0" w:color="auto"/>
              <w:left w:val="nil"/>
              <w:bottom w:val="single" w:sz="4" w:space="0" w:color="auto"/>
              <w:right w:val="single" w:sz="4" w:space="0" w:color="auto"/>
            </w:tcBorders>
            <w:shd w:val="clear" w:color="000000" w:fill="92CDDC"/>
            <w:vAlign w:val="center"/>
            <w:hideMark/>
          </w:tcPr>
          <w:p w14:paraId="371D0766"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IZVRŠENJE 01.01. - 31.12.2023.</w:t>
            </w:r>
          </w:p>
        </w:tc>
        <w:tc>
          <w:tcPr>
            <w:tcW w:w="499" w:type="pct"/>
            <w:tcBorders>
              <w:top w:val="single" w:sz="4" w:space="0" w:color="auto"/>
              <w:left w:val="nil"/>
              <w:bottom w:val="single" w:sz="4" w:space="0" w:color="auto"/>
              <w:right w:val="single" w:sz="4" w:space="0" w:color="auto"/>
            </w:tcBorders>
            <w:shd w:val="clear" w:color="000000" w:fill="92CDDC"/>
            <w:vAlign w:val="center"/>
            <w:hideMark/>
          </w:tcPr>
          <w:p w14:paraId="6FB1958A"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Indeks</w:t>
            </w:r>
          </w:p>
        </w:tc>
        <w:tc>
          <w:tcPr>
            <w:tcW w:w="411" w:type="pct"/>
            <w:tcBorders>
              <w:top w:val="single" w:sz="4" w:space="0" w:color="auto"/>
              <w:left w:val="nil"/>
              <w:bottom w:val="single" w:sz="4" w:space="0" w:color="auto"/>
              <w:right w:val="single" w:sz="4" w:space="0" w:color="auto"/>
            </w:tcBorders>
            <w:shd w:val="clear" w:color="000000" w:fill="92CDDC"/>
            <w:vAlign w:val="center"/>
            <w:hideMark/>
          </w:tcPr>
          <w:p w14:paraId="0AC2C5E6"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Indeks</w:t>
            </w:r>
          </w:p>
        </w:tc>
      </w:tr>
      <w:tr w:rsidR="001738AF" w:rsidRPr="001738AF" w14:paraId="28FD722D" w14:textId="77777777" w:rsidTr="001738AF">
        <w:trPr>
          <w:trHeight w:val="240"/>
        </w:trPr>
        <w:tc>
          <w:tcPr>
            <w:tcW w:w="2150" w:type="pct"/>
            <w:tcBorders>
              <w:top w:val="nil"/>
              <w:left w:val="single" w:sz="4" w:space="0" w:color="auto"/>
              <w:bottom w:val="single" w:sz="4" w:space="0" w:color="auto"/>
              <w:right w:val="single" w:sz="4" w:space="0" w:color="auto"/>
            </w:tcBorders>
            <w:shd w:val="clear" w:color="000000" w:fill="92CDDC"/>
            <w:noWrap/>
            <w:vAlign w:val="center"/>
            <w:hideMark/>
          </w:tcPr>
          <w:p w14:paraId="3460970C"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 </w:t>
            </w:r>
          </w:p>
        </w:tc>
        <w:tc>
          <w:tcPr>
            <w:tcW w:w="485" w:type="pct"/>
            <w:tcBorders>
              <w:top w:val="nil"/>
              <w:left w:val="nil"/>
              <w:bottom w:val="single" w:sz="4" w:space="0" w:color="auto"/>
              <w:right w:val="single" w:sz="4" w:space="0" w:color="auto"/>
            </w:tcBorders>
            <w:shd w:val="clear" w:color="000000" w:fill="92CDDC"/>
            <w:noWrap/>
            <w:vAlign w:val="center"/>
            <w:hideMark/>
          </w:tcPr>
          <w:p w14:paraId="788F689E"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1</w:t>
            </w:r>
          </w:p>
        </w:tc>
        <w:tc>
          <w:tcPr>
            <w:tcW w:w="485" w:type="pct"/>
            <w:tcBorders>
              <w:top w:val="nil"/>
              <w:left w:val="nil"/>
              <w:bottom w:val="single" w:sz="4" w:space="0" w:color="auto"/>
              <w:right w:val="single" w:sz="4" w:space="0" w:color="auto"/>
            </w:tcBorders>
            <w:shd w:val="clear" w:color="000000" w:fill="92CDDC"/>
            <w:noWrap/>
            <w:vAlign w:val="center"/>
            <w:hideMark/>
          </w:tcPr>
          <w:p w14:paraId="30AD7D9F"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2</w:t>
            </w:r>
          </w:p>
        </w:tc>
        <w:tc>
          <w:tcPr>
            <w:tcW w:w="485" w:type="pct"/>
            <w:tcBorders>
              <w:top w:val="nil"/>
              <w:left w:val="nil"/>
              <w:bottom w:val="single" w:sz="4" w:space="0" w:color="auto"/>
              <w:right w:val="single" w:sz="4" w:space="0" w:color="auto"/>
            </w:tcBorders>
            <w:shd w:val="clear" w:color="000000" w:fill="92CDDC"/>
            <w:noWrap/>
            <w:vAlign w:val="center"/>
            <w:hideMark/>
          </w:tcPr>
          <w:p w14:paraId="0AB8F8EF"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3</w:t>
            </w:r>
          </w:p>
        </w:tc>
        <w:tc>
          <w:tcPr>
            <w:tcW w:w="485" w:type="pct"/>
            <w:tcBorders>
              <w:top w:val="nil"/>
              <w:left w:val="nil"/>
              <w:bottom w:val="single" w:sz="4" w:space="0" w:color="auto"/>
              <w:right w:val="single" w:sz="4" w:space="0" w:color="auto"/>
            </w:tcBorders>
            <w:shd w:val="clear" w:color="000000" w:fill="92CDDC"/>
            <w:noWrap/>
            <w:vAlign w:val="center"/>
            <w:hideMark/>
          </w:tcPr>
          <w:p w14:paraId="753296D4"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4</w:t>
            </w:r>
          </w:p>
        </w:tc>
        <w:tc>
          <w:tcPr>
            <w:tcW w:w="499" w:type="pct"/>
            <w:tcBorders>
              <w:top w:val="nil"/>
              <w:left w:val="nil"/>
              <w:bottom w:val="single" w:sz="4" w:space="0" w:color="auto"/>
              <w:right w:val="single" w:sz="4" w:space="0" w:color="auto"/>
            </w:tcBorders>
            <w:shd w:val="clear" w:color="000000" w:fill="92CDDC"/>
            <w:noWrap/>
            <w:vAlign w:val="center"/>
            <w:hideMark/>
          </w:tcPr>
          <w:p w14:paraId="30D13116"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5 (4/1)*100</w:t>
            </w:r>
          </w:p>
        </w:tc>
        <w:tc>
          <w:tcPr>
            <w:tcW w:w="411" w:type="pct"/>
            <w:tcBorders>
              <w:top w:val="nil"/>
              <w:left w:val="nil"/>
              <w:bottom w:val="single" w:sz="4" w:space="0" w:color="auto"/>
              <w:right w:val="single" w:sz="4" w:space="0" w:color="auto"/>
            </w:tcBorders>
            <w:shd w:val="clear" w:color="000000" w:fill="92CDDC"/>
            <w:noWrap/>
            <w:vAlign w:val="center"/>
            <w:hideMark/>
          </w:tcPr>
          <w:p w14:paraId="6454EC63" w14:textId="77777777" w:rsidR="001738AF" w:rsidRPr="001738AF" w:rsidRDefault="001738AF" w:rsidP="001738AF">
            <w:pPr>
              <w:widowControl/>
              <w:autoSpaceDE/>
              <w:autoSpaceDN/>
              <w:adjustRightInd/>
              <w:jc w:val="center"/>
              <w:rPr>
                <w:rFonts w:ascii="Calibri" w:hAnsi="Calibri"/>
                <w:b/>
                <w:bCs/>
                <w:color w:val="000000"/>
                <w:sz w:val="18"/>
                <w:szCs w:val="18"/>
              </w:rPr>
            </w:pPr>
            <w:r w:rsidRPr="001738AF">
              <w:rPr>
                <w:rFonts w:ascii="Calibri" w:hAnsi="Calibri"/>
                <w:b/>
                <w:bCs/>
                <w:color w:val="000000"/>
                <w:sz w:val="18"/>
                <w:szCs w:val="18"/>
              </w:rPr>
              <w:t>6 (4/3)*100</w:t>
            </w:r>
          </w:p>
        </w:tc>
      </w:tr>
      <w:tr w:rsidR="001738AF" w:rsidRPr="001738AF" w14:paraId="7A1E17AF" w14:textId="77777777" w:rsidTr="001738AF">
        <w:trPr>
          <w:trHeight w:val="300"/>
        </w:trPr>
        <w:tc>
          <w:tcPr>
            <w:tcW w:w="2150" w:type="pct"/>
            <w:tcBorders>
              <w:top w:val="single" w:sz="4" w:space="0" w:color="95B3D7"/>
              <w:left w:val="nil"/>
              <w:bottom w:val="single" w:sz="4" w:space="0" w:color="95B3D7"/>
              <w:right w:val="nil"/>
            </w:tcBorders>
            <w:shd w:val="clear" w:color="DCE6F1" w:fill="DCE6F1"/>
            <w:noWrap/>
            <w:vAlign w:val="bottom"/>
            <w:hideMark/>
          </w:tcPr>
          <w:p w14:paraId="1E11E484"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RAZDJEL 185 DRŽAVNI URED ZA REVIZIJU</w:t>
            </w:r>
          </w:p>
        </w:tc>
        <w:tc>
          <w:tcPr>
            <w:tcW w:w="485"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2F787053"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11.042.707,23</w:t>
            </w:r>
          </w:p>
        </w:tc>
        <w:tc>
          <w:tcPr>
            <w:tcW w:w="485" w:type="pct"/>
            <w:tcBorders>
              <w:top w:val="single" w:sz="4" w:space="0" w:color="95B3D7"/>
              <w:left w:val="nil"/>
              <w:bottom w:val="single" w:sz="4" w:space="0" w:color="95B3D7"/>
              <w:right w:val="nil"/>
            </w:tcBorders>
            <w:shd w:val="clear" w:color="DCE6F1" w:fill="DCE6F1"/>
            <w:noWrap/>
            <w:vAlign w:val="bottom"/>
            <w:hideMark/>
          </w:tcPr>
          <w:p w14:paraId="3A79E7DC"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14.406.098</w:t>
            </w:r>
          </w:p>
        </w:tc>
        <w:tc>
          <w:tcPr>
            <w:tcW w:w="485"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71C0B63D"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11.244.276</w:t>
            </w:r>
          </w:p>
        </w:tc>
        <w:tc>
          <w:tcPr>
            <w:tcW w:w="485" w:type="pct"/>
            <w:tcBorders>
              <w:top w:val="single" w:sz="4" w:space="0" w:color="95B3D7"/>
              <w:left w:val="nil"/>
              <w:bottom w:val="single" w:sz="4" w:space="0" w:color="95B3D7"/>
              <w:right w:val="nil"/>
            </w:tcBorders>
            <w:shd w:val="clear" w:color="DCE6F1" w:fill="DCE6F1"/>
            <w:noWrap/>
            <w:vAlign w:val="bottom"/>
            <w:hideMark/>
          </w:tcPr>
          <w:p w14:paraId="091C41C4"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11.062.318,02</w:t>
            </w:r>
          </w:p>
        </w:tc>
        <w:tc>
          <w:tcPr>
            <w:tcW w:w="499"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1C13BC92"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100,18</w:t>
            </w:r>
          </w:p>
        </w:tc>
        <w:tc>
          <w:tcPr>
            <w:tcW w:w="411" w:type="pct"/>
            <w:tcBorders>
              <w:top w:val="single" w:sz="4" w:space="0" w:color="95B3D7"/>
              <w:left w:val="nil"/>
              <w:bottom w:val="single" w:sz="4" w:space="0" w:color="95B3D7"/>
              <w:right w:val="nil"/>
            </w:tcBorders>
            <w:shd w:val="clear" w:color="DCE6F1" w:fill="DCE6F1"/>
            <w:noWrap/>
            <w:vAlign w:val="bottom"/>
            <w:hideMark/>
          </w:tcPr>
          <w:p w14:paraId="3C35E1A4"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98,38</w:t>
            </w:r>
          </w:p>
        </w:tc>
      </w:tr>
      <w:tr w:rsidR="001738AF" w:rsidRPr="001738AF" w14:paraId="60AE932A" w14:textId="77777777" w:rsidTr="001738AF">
        <w:trPr>
          <w:trHeight w:val="300"/>
        </w:trPr>
        <w:tc>
          <w:tcPr>
            <w:tcW w:w="2150" w:type="pct"/>
            <w:tcBorders>
              <w:top w:val="nil"/>
              <w:left w:val="nil"/>
              <w:bottom w:val="nil"/>
              <w:right w:val="nil"/>
            </w:tcBorders>
            <w:shd w:val="clear" w:color="auto" w:fill="auto"/>
            <w:noWrap/>
            <w:vAlign w:val="bottom"/>
            <w:hideMark/>
          </w:tcPr>
          <w:p w14:paraId="6F7F7CDF"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1 Opći prihodi i primici</w:t>
            </w:r>
          </w:p>
        </w:tc>
        <w:tc>
          <w:tcPr>
            <w:tcW w:w="485" w:type="pct"/>
            <w:tcBorders>
              <w:top w:val="nil"/>
              <w:left w:val="single" w:sz="4" w:space="0" w:color="95B3D7"/>
              <w:bottom w:val="nil"/>
              <w:right w:val="single" w:sz="4" w:space="0" w:color="95B3D7"/>
            </w:tcBorders>
            <w:shd w:val="clear" w:color="auto" w:fill="auto"/>
            <w:noWrap/>
            <w:vAlign w:val="bottom"/>
            <w:hideMark/>
          </w:tcPr>
          <w:p w14:paraId="08E6713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9.457.428,68</w:t>
            </w:r>
          </w:p>
        </w:tc>
        <w:tc>
          <w:tcPr>
            <w:tcW w:w="485" w:type="pct"/>
            <w:tcBorders>
              <w:top w:val="nil"/>
              <w:left w:val="nil"/>
              <w:bottom w:val="nil"/>
              <w:right w:val="nil"/>
            </w:tcBorders>
            <w:shd w:val="clear" w:color="auto" w:fill="auto"/>
            <w:noWrap/>
            <w:vAlign w:val="bottom"/>
            <w:hideMark/>
          </w:tcPr>
          <w:p w14:paraId="0B925514"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13.288.679</w:t>
            </w:r>
          </w:p>
        </w:tc>
        <w:tc>
          <w:tcPr>
            <w:tcW w:w="485" w:type="pct"/>
            <w:tcBorders>
              <w:top w:val="nil"/>
              <w:left w:val="single" w:sz="4" w:space="0" w:color="95B3D7"/>
              <w:bottom w:val="nil"/>
              <w:right w:val="single" w:sz="4" w:space="0" w:color="95B3D7"/>
            </w:tcBorders>
            <w:shd w:val="clear" w:color="auto" w:fill="auto"/>
            <w:noWrap/>
            <w:vAlign w:val="bottom"/>
            <w:hideMark/>
          </w:tcPr>
          <w:p w14:paraId="07D68AAE"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10.687.266</w:t>
            </w:r>
          </w:p>
        </w:tc>
        <w:tc>
          <w:tcPr>
            <w:tcW w:w="485" w:type="pct"/>
            <w:tcBorders>
              <w:top w:val="nil"/>
              <w:left w:val="nil"/>
              <w:bottom w:val="nil"/>
              <w:right w:val="nil"/>
            </w:tcBorders>
            <w:shd w:val="clear" w:color="auto" w:fill="auto"/>
            <w:noWrap/>
            <w:vAlign w:val="bottom"/>
            <w:hideMark/>
          </w:tcPr>
          <w:p w14:paraId="4C92E15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10.570.142,95</w:t>
            </w:r>
          </w:p>
        </w:tc>
        <w:tc>
          <w:tcPr>
            <w:tcW w:w="499" w:type="pct"/>
            <w:tcBorders>
              <w:top w:val="nil"/>
              <w:left w:val="single" w:sz="4" w:space="0" w:color="95B3D7"/>
              <w:bottom w:val="nil"/>
              <w:right w:val="single" w:sz="4" w:space="0" w:color="95B3D7"/>
            </w:tcBorders>
            <w:shd w:val="clear" w:color="auto" w:fill="auto"/>
            <w:noWrap/>
            <w:vAlign w:val="bottom"/>
            <w:hideMark/>
          </w:tcPr>
          <w:p w14:paraId="39DBC64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111,77</w:t>
            </w:r>
          </w:p>
        </w:tc>
        <w:tc>
          <w:tcPr>
            <w:tcW w:w="411" w:type="pct"/>
            <w:tcBorders>
              <w:top w:val="nil"/>
              <w:left w:val="nil"/>
              <w:bottom w:val="nil"/>
              <w:right w:val="nil"/>
            </w:tcBorders>
            <w:shd w:val="clear" w:color="auto" w:fill="auto"/>
            <w:noWrap/>
            <w:vAlign w:val="bottom"/>
            <w:hideMark/>
          </w:tcPr>
          <w:p w14:paraId="3F52A5C7"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98,90</w:t>
            </w:r>
          </w:p>
        </w:tc>
      </w:tr>
      <w:tr w:rsidR="001738AF" w:rsidRPr="001738AF" w14:paraId="26FEE3B3"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2450A43A"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11 OPĆI PRIHODI I PRIMICI</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4B9031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9.457.428,68</w:t>
            </w:r>
          </w:p>
        </w:tc>
        <w:tc>
          <w:tcPr>
            <w:tcW w:w="485" w:type="pct"/>
            <w:tcBorders>
              <w:top w:val="single" w:sz="4" w:space="0" w:color="95B3D7"/>
              <w:left w:val="nil"/>
              <w:bottom w:val="single" w:sz="4" w:space="0" w:color="95B3D7"/>
              <w:right w:val="nil"/>
            </w:tcBorders>
            <w:shd w:val="clear" w:color="auto" w:fill="auto"/>
            <w:noWrap/>
            <w:vAlign w:val="bottom"/>
            <w:hideMark/>
          </w:tcPr>
          <w:p w14:paraId="08B9324D"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13.288.679</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3CB6161"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10.687.266</w:t>
            </w:r>
          </w:p>
        </w:tc>
        <w:tc>
          <w:tcPr>
            <w:tcW w:w="485" w:type="pct"/>
            <w:tcBorders>
              <w:top w:val="single" w:sz="4" w:space="0" w:color="95B3D7"/>
              <w:left w:val="nil"/>
              <w:bottom w:val="single" w:sz="4" w:space="0" w:color="95B3D7"/>
              <w:right w:val="nil"/>
            </w:tcBorders>
            <w:shd w:val="clear" w:color="auto" w:fill="auto"/>
            <w:noWrap/>
            <w:vAlign w:val="bottom"/>
            <w:hideMark/>
          </w:tcPr>
          <w:p w14:paraId="6C63A2E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10.570.142,95</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56E2C06"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111,77</w:t>
            </w:r>
          </w:p>
        </w:tc>
        <w:tc>
          <w:tcPr>
            <w:tcW w:w="411" w:type="pct"/>
            <w:tcBorders>
              <w:top w:val="single" w:sz="4" w:space="0" w:color="95B3D7"/>
              <w:left w:val="nil"/>
              <w:bottom w:val="single" w:sz="4" w:space="0" w:color="95B3D7"/>
              <w:right w:val="nil"/>
            </w:tcBorders>
            <w:shd w:val="clear" w:color="auto" w:fill="auto"/>
            <w:noWrap/>
            <w:vAlign w:val="bottom"/>
            <w:hideMark/>
          </w:tcPr>
          <w:p w14:paraId="2E9BB86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98,90</w:t>
            </w:r>
          </w:p>
        </w:tc>
      </w:tr>
      <w:tr w:rsidR="001738AF" w:rsidRPr="001738AF" w14:paraId="6A2D9BAA" w14:textId="77777777" w:rsidTr="001738AF">
        <w:trPr>
          <w:trHeight w:val="300"/>
        </w:trPr>
        <w:tc>
          <w:tcPr>
            <w:tcW w:w="2150" w:type="pct"/>
            <w:tcBorders>
              <w:top w:val="nil"/>
              <w:left w:val="nil"/>
              <w:bottom w:val="nil"/>
              <w:right w:val="nil"/>
            </w:tcBorders>
            <w:shd w:val="clear" w:color="auto" w:fill="auto"/>
            <w:noWrap/>
            <w:vAlign w:val="bottom"/>
            <w:hideMark/>
          </w:tcPr>
          <w:p w14:paraId="1B72030D"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3 Vlastiti prihodi</w:t>
            </w:r>
          </w:p>
        </w:tc>
        <w:tc>
          <w:tcPr>
            <w:tcW w:w="485" w:type="pct"/>
            <w:tcBorders>
              <w:top w:val="nil"/>
              <w:left w:val="single" w:sz="4" w:space="0" w:color="95B3D7"/>
              <w:bottom w:val="nil"/>
              <w:right w:val="single" w:sz="4" w:space="0" w:color="95B3D7"/>
            </w:tcBorders>
            <w:shd w:val="clear" w:color="auto" w:fill="auto"/>
            <w:noWrap/>
            <w:vAlign w:val="bottom"/>
            <w:hideMark/>
          </w:tcPr>
          <w:p w14:paraId="7FEBC5F6"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695.697,18</w:t>
            </w:r>
          </w:p>
        </w:tc>
        <w:tc>
          <w:tcPr>
            <w:tcW w:w="485" w:type="pct"/>
            <w:tcBorders>
              <w:top w:val="nil"/>
              <w:left w:val="nil"/>
              <w:bottom w:val="nil"/>
              <w:right w:val="nil"/>
            </w:tcBorders>
            <w:shd w:val="clear" w:color="auto" w:fill="auto"/>
            <w:noWrap/>
            <w:vAlign w:val="bottom"/>
            <w:hideMark/>
          </w:tcPr>
          <w:p w14:paraId="13167012"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199.212</w:t>
            </w:r>
          </w:p>
        </w:tc>
        <w:tc>
          <w:tcPr>
            <w:tcW w:w="485" w:type="pct"/>
            <w:tcBorders>
              <w:top w:val="nil"/>
              <w:left w:val="single" w:sz="4" w:space="0" w:color="95B3D7"/>
              <w:bottom w:val="nil"/>
              <w:right w:val="single" w:sz="4" w:space="0" w:color="95B3D7"/>
            </w:tcBorders>
            <w:shd w:val="clear" w:color="auto" w:fill="auto"/>
            <w:noWrap/>
            <w:vAlign w:val="bottom"/>
            <w:hideMark/>
          </w:tcPr>
          <w:p w14:paraId="5ED62633"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199.212</w:t>
            </w:r>
          </w:p>
        </w:tc>
        <w:tc>
          <w:tcPr>
            <w:tcW w:w="485" w:type="pct"/>
            <w:tcBorders>
              <w:top w:val="nil"/>
              <w:left w:val="nil"/>
              <w:bottom w:val="nil"/>
              <w:right w:val="nil"/>
            </w:tcBorders>
            <w:shd w:val="clear" w:color="auto" w:fill="auto"/>
            <w:noWrap/>
            <w:vAlign w:val="bottom"/>
            <w:hideMark/>
          </w:tcPr>
          <w:p w14:paraId="58844D30"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134.458,08</w:t>
            </w:r>
          </w:p>
        </w:tc>
        <w:tc>
          <w:tcPr>
            <w:tcW w:w="499" w:type="pct"/>
            <w:tcBorders>
              <w:top w:val="nil"/>
              <w:left w:val="single" w:sz="4" w:space="0" w:color="95B3D7"/>
              <w:bottom w:val="nil"/>
              <w:right w:val="single" w:sz="4" w:space="0" w:color="95B3D7"/>
            </w:tcBorders>
            <w:shd w:val="clear" w:color="auto" w:fill="auto"/>
            <w:noWrap/>
            <w:vAlign w:val="bottom"/>
            <w:hideMark/>
          </w:tcPr>
          <w:p w14:paraId="66922265"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19,33</w:t>
            </w:r>
          </w:p>
        </w:tc>
        <w:tc>
          <w:tcPr>
            <w:tcW w:w="411" w:type="pct"/>
            <w:tcBorders>
              <w:top w:val="nil"/>
              <w:left w:val="nil"/>
              <w:bottom w:val="nil"/>
              <w:right w:val="nil"/>
            </w:tcBorders>
            <w:shd w:val="clear" w:color="auto" w:fill="auto"/>
            <w:noWrap/>
            <w:vAlign w:val="bottom"/>
            <w:hideMark/>
          </w:tcPr>
          <w:p w14:paraId="0F3E757B"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67,49</w:t>
            </w:r>
          </w:p>
        </w:tc>
      </w:tr>
      <w:tr w:rsidR="001738AF" w:rsidRPr="001738AF" w14:paraId="2AC67869"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72B9BA7F"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31 VLASTITI PRIHODI</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A348FFF"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695.697,18</w:t>
            </w:r>
          </w:p>
        </w:tc>
        <w:tc>
          <w:tcPr>
            <w:tcW w:w="485" w:type="pct"/>
            <w:tcBorders>
              <w:top w:val="single" w:sz="4" w:space="0" w:color="95B3D7"/>
              <w:left w:val="nil"/>
              <w:bottom w:val="single" w:sz="4" w:space="0" w:color="95B3D7"/>
              <w:right w:val="nil"/>
            </w:tcBorders>
            <w:shd w:val="clear" w:color="auto" w:fill="auto"/>
            <w:noWrap/>
            <w:vAlign w:val="bottom"/>
            <w:hideMark/>
          </w:tcPr>
          <w:p w14:paraId="2D851F33"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199.212</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70AC124"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199.212</w:t>
            </w:r>
          </w:p>
        </w:tc>
        <w:tc>
          <w:tcPr>
            <w:tcW w:w="485" w:type="pct"/>
            <w:tcBorders>
              <w:top w:val="single" w:sz="4" w:space="0" w:color="95B3D7"/>
              <w:left w:val="nil"/>
              <w:bottom w:val="single" w:sz="4" w:space="0" w:color="95B3D7"/>
              <w:right w:val="nil"/>
            </w:tcBorders>
            <w:shd w:val="clear" w:color="auto" w:fill="auto"/>
            <w:noWrap/>
            <w:vAlign w:val="bottom"/>
            <w:hideMark/>
          </w:tcPr>
          <w:p w14:paraId="22A06536"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134.458,08</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E578801"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19,33</w:t>
            </w:r>
          </w:p>
        </w:tc>
        <w:tc>
          <w:tcPr>
            <w:tcW w:w="411" w:type="pct"/>
            <w:tcBorders>
              <w:top w:val="single" w:sz="4" w:space="0" w:color="95B3D7"/>
              <w:left w:val="nil"/>
              <w:bottom w:val="single" w:sz="4" w:space="0" w:color="95B3D7"/>
              <w:right w:val="nil"/>
            </w:tcBorders>
            <w:shd w:val="clear" w:color="auto" w:fill="auto"/>
            <w:noWrap/>
            <w:vAlign w:val="bottom"/>
            <w:hideMark/>
          </w:tcPr>
          <w:p w14:paraId="7F0981D3"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67,49</w:t>
            </w:r>
          </w:p>
        </w:tc>
      </w:tr>
      <w:tr w:rsidR="001738AF" w:rsidRPr="001738AF" w14:paraId="527973C8" w14:textId="77777777" w:rsidTr="001738AF">
        <w:trPr>
          <w:trHeight w:val="300"/>
        </w:trPr>
        <w:tc>
          <w:tcPr>
            <w:tcW w:w="2150" w:type="pct"/>
            <w:tcBorders>
              <w:top w:val="nil"/>
              <w:left w:val="nil"/>
              <w:bottom w:val="nil"/>
              <w:right w:val="nil"/>
            </w:tcBorders>
            <w:shd w:val="clear" w:color="auto" w:fill="auto"/>
            <w:noWrap/>
            <w:vAlign w:val="bottom"/>
            <w:hideMark/>
          </w:tcPr>
          <w:p w14:paraId="1B061842" w14:textId="77777777" w:rsidR="001738AF" w:rsidRPr="001738AF" w:rsidRDefault="001738AF" w:rsidP="001738AF">
            <w:pPr>
              <w:widowControl/>
              <w:autoSpaceDE/>
              <w:autoSpaceDN/>
              <w:adjustRightInd/>
              <w:ind w:firstLineChars="100" w:firstLine="180"/>
              <w:jc w:val="left"/>
              <w:rPr>
                <w:rFonts w:ascii="Calibri" w:hAnsi="Calibri"/>
                <w:b/>
                <w:bCs/>
                <w:color w:val="000000"/>
                <w:sz w:val="18"/>
                <w:szCs w:val="18"/>
              </w:rPr>
            </w:pPr>
            <w:r w:rsidRPr="001738AF">
              <w:rPr>
                <w:rFonts w:ascii="Calibri" w:hAnsi="Calibri"/>
                <w:b/>
                <w:bCs/>
                <w:color w:val="000000"/>
                <w:sz w:val="18"/>
                <w:szCs w:val="18"/>
              </w:rPr>
              <w:t>5 Pomoći</w:t>
            </w:r>
          </w:p>
        </w:tc>
        <w:tc>
          <w:tcPr>
            <w:tcW w:w="485" w:type="pct"/>
            <w:tcBorders>
              <w:top w:val="nil"/>
              <w:left w:val="single" w:sz="4" w:space="0" w:color="95B3D7"/>
              <w:bottom w:val="nil"/>
              <w:right w:val="single" w:sz="4" w:space="0" w:color="95B3D7"/>
            </w:tcBorders>
            <w:shd w:val="clear" w:color="auto" w:fill="auto"/>
            <w:noWrap/>
            <w:vAlign w:val="bottom"/>
            <w:hideMark/>
          </w:tcPr>
          <w:p w14:paraId="53DD53B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889.581,37</w:t>
            </w:r>
          </w:p>
        </w:tc>
        <w:tc>
          <w:tcPr>
            <w:tcW w:w="485" w:type="pct"/>
            <w:tcBorders>
              <w:top w:val="nil"/>
              <w:left w:val="nil"/>
              <w:bottom w:val="nil"/>
              <w:right w:val="nil"/>
            </w:tcBorders>
            <w:shd w:val="clear" w:color="auto" w:fill="auto"/>
            <w:noWrap/>
            <w:vAlign w:val="bottom"/>
            <w:hideMark/>
          </w:tcPr>
          <w:p w14:paraId="6CE1BF70"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918.207</w:t>
            </w:r>
          </w:p>
        </w:tc>
        <w:tc>
          <w:tcPr>
            <w:tcW w:w="485" w:type="pct"/>
            <w:tcBorders>
              <w:top w:val="nil"/>
              <w:left w:val="single" w:sz="4" w:space="0" w:color="95B3D7"/>
              <w:bottom w:val="nil"/>
              <w:right w:val="single" w:sz="4" w:space="0" w:color="95B3D7"/>
            </w:tcBorders>
            <w:shd w:val="clear" w:color="auto" w:fill="auto"/>
            <w:noWrap/>
            <w:vAlign w:val="bottom"/>
            <w:hideMark/>
          </w:tcPr>
          <w:p w14:paraId="2B7A26B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357.798</w:t>
            </w:r>
          </w:p>
        </w:tc>
        <w:tc>
          <w:tcPr>
            <w:tcW w:w="485" w:type="pct"/>
            <w:tcBorders>
              <w:top w:val="nil"/>
              <w:left w:val="nil"/>
              <w:bottom w:val="nil"/>
              <w:right w:val="nil"/>
            </w:tcBorders>
            <w:shd w:val="clear" w:color="auto" w:fill="auto"/>
            <w:noWrap/>
            <w:vAlign w:val="bottom"/>
            <w:hideMark/>
          </w:tcPr>
          <w:p w14:paraId="082C4494"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357.716,99</w:t>
            </w:r>
          </w:p>
        </w:tc>
        <w:tc>
          <w:tcPr>
            <w:tcW w:w="499" w:type="pct"/>
            <w:tcBorders>
              <w:top w:val="nil"/>
              <w:left w:val="single" w:sz="4" w:space="0" w:color="95B3D7"/>
              <w:bottom w:val="nil"/>
              <w:right w:val="single" w:sz="4" w:space="0" w:color="95B3D7"/>
            </w:tcBorders>
            <w:shd w:val="clear" w:color="auto" w:fill="auto"/>
            <w:noWrap/>
            <w:vAlign w:val="bottom"/>
            <w:hideMark/>
          </w:tcPr>
          <w:p w14:paraId="254F8C2D"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40,21</w:t>
            </w:r>
          </w:p>
        </w:tc>
        <w:tc>
          <w:tcPr>
            <w:tcW w:w="411" w:type="pct"/>
            <w:tcBorders>
              <w:top w:val="nil"/>
              <w:left w:val="nil"/>
              <w:bottom w:val="nil"/>
              <w:right w:val="nil"/>
            </w:tcBorders>
            <w:shd w:val="clear" w:color="auto" w:fill="auto"/>
            <w:noWrap/>
            <w:vAlign w:val="bottom"/>
            <w:hideMark/>
          </w:tcPr>
          <w:p w14:paraId="77C16CD7"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99,98</w:t>
            </w:r>
          </w:p>
        </w:tc>
      </w:tr>
      <w:tr w:rsidR="001738AF" w:rsidRPr="001738AF" w14:paraId="1C7C499A" w14:textId="77777777" w:rsidTr="001738AF">
        <w:trPr>
          <w:trHeight w:val="300"/>
        </w:trPr>
        <w:tc>
          <w:tcPr>
            <w:tcW w:w="2150" w:type="pct"/>
            <w:tcBorders>
              <w:top w:val="single" w:sz="4" w:space="0" w:color="95B3D7"/>
              <w:left w:val="nil"/>
              <w:bottom w:val="single" w:sz="4" w:space="0" w:color="95B3D7"/>
              <w:right w:val="nil"/>
            </w:tcBorders>
            <w:shd w:val="clear" w:color="auto" w:fill="auto"/>
            <w:noWrap/>
            <w:vAlign w:val="bottom"/>
            <w:hideMark/>
          </w:tcPr>
          <w:p w14:paraId="185BAD47" w14:textId="77777777" w:rsidR="001738AF" w:rsidRPr="001738AF" w:rsidRDefault="001738AF" w:rsidP="001738AF">
            <w:pPr>
              <w:widowControl/>
              <w:autoSpaceDE/>
              <w:autoSpaceDN/>
              <w:adjustRightInd/>
              <w:ind w:firstLineChars="200" w:firstLine="360"/>
              <w:jc w:val="left"/>
              <w:rPr>
                <w:rFonts w:ascii="Calibri" w:hAnsi="Calibri"/>
                <w:color w:val="000000"/>
                <w:sz w:val="18"/>
                <w:szCs w:val="18"/>
              </w:rPr>
            </w:pPr>
            <w:r w:rsidRPr="001738AF">
              <w:rPr>
                <w:rFonts w:ascii="Calibri" w:hAnsi="Calibri"/>
                <w:color w:val="000000"/>
                <w:sz w:val="18"/>
                <w:szCs w:val="18"/>
              </w:rPr>
              <w:t>IZVOR 5761 FOND SOLIDARNOSTI EU - potres ožujak 2020.</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0134CAB"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889.581,37</w:t>
            </w:r>
          </w:p>
        </w:tc>
        <w:tc>
          <w:tcPr>
            <w:tcW w:w="485" w:type="pct"/>
            <w:tcBorders>
              <w:top w:val="single" w:sz="4" w:space="0" w:color="95B3D7"/>
              <w:left w:val="nil"/>
              <w:bottom w:val="single" w:sz="4" w:space="0" w:color="95B3D7"/>
              <w:right w:val="nil"/>
            </w:tcBorders>
            <w:shd w:val="clear" w:color="auto" w:fill="auto"/>
            <w:noWrap/>
            <w:vAlign w:val="bottom"/>
            <w:hideMark/>
          </w:tcPr>
          <w:p w14:paraId="4F7107B9"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918.207</w:t>
            </w:r>
          </w:p>
        </w:tc>
        <w:tc>
          <w:tcPr>
            <w:tcW w:w="485"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E42289D"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357.798</w:t>
            </w:r>
          </w:p>
        </w:tc>
        <w:tc>
          <w:tcPr>
            <w:tcW w:w="485" w:type="pct"/>
            <w:tcBorders>
              <w:top w:val="single" w:sz="4" w:space="0" w:color="95B3D7"/>
              <w:left w:val="nil"/>
              <w:bottom w:val="single" w:sz="4" w:space="0" w:color="95B3D7"/>
              <w:right w:val="nil"/>
            </w:tcBorders>
            <w:shd w:val="clear" w:color="auto" w:fill="auto"/>
            <w:noWrap/>
            <w:vAlign w:val="bottom"/>
            <w:hideMark/>
          </w:tcPr>
          <w:p w14:paraId="0B1CD1CD"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357.716,99</w:t>
            </w:r>
          </w:p>
        </w:tc>
        <w:tc>
          <w:tcPr>
            <w:tcW w:w="499"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BA952E0"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40,21</w:t>
            </w:r>
          </w:p>
        </w:tc>
        <w:tc>
          <w:tcPr>
            <w:tcW w:w="411" w:type="pct"/>
            <w:tcBorders>
              <w:top w:val="single" w:sz="4" w:space="0" w:color="95B3D7"/>
              <w:left w:val="nil"/>
              <w:bottom w:val="single" w:sz="4" w:space="0" w:color="95B3D7"/>
              <w:right w:val="nil"/>
            </w:tcBorders>
            <w:shd w:val="clear" w:color="auto" w:fill="auto"/>
            <w:noWrap/>
            <w:vAlign w:val="bottom"/>
            <w:hideMark/>
          </w:tcPr>
          <w:p w14:paraId="59DD5E6C" w14:textId="77777777" w:rsidR="001738AF" w:rsidRPr="001738AF" w:rsidRDefault="001738AF" w:rsidP="001738AF">
            <w:pPr>
              <w:widowControl/>
              <w:autoSpaceDE/>
              <w:autoSpaceDN/>
              <w:adjustRightInd/>
              <w:jc w:val="right"/>
              <w:rPr>
                <w:rFonts w:ascii="Calibri" w:hAnsi="Calibri"/>
                <w:color w:val="000000"/>
                <w:sz w:val="18"/>
                <w:szCs w:val="18"/>
              </w:rPr>
            </w:pPr>
            <w:r w:rsidRPr="001738AF">
              <w:rPr>
                <w:rFonts w:ascii="Calibri" w:hAnsi="Calibri"/>
                <w:color w:val="000000"/>
                <w:sz w:val="18"/>
                <w:szCs w:val="18"/>
              </w:rPr>
              <w:t>99,98</w:t>
            </w:r>
          </w:p>
        </w:tc>
      </w:tr>
      <w:tr w:rsidR="001738AF" w:rsidRPr="001738AF" w14:paraId="7AED2BCD" w14:textId="77777777" w:rsidTr="001738AF">
        <w:trPr>
          <w:trHeight w:val="300"/>
        </w:trPr>
        <w:tc>
          <w:tcPr>
            <w:tcW w:w="2150" w:type="pct"/>
            <w:tcBorders>
              <w:top w:val="single" w:sz="4" w:space="0" w:color="366092"/>
              <w:left w:val="nil"/>
              <w:bottom w:val="single" w:sz="8" w:space="0" w:color="366092"/>
              <w:right w:val="nil"/>
            </w:tcBorders>
            <w:shd w:val="clear" w:color="auto" w:fill="auto"/>
            <w:noWrap/>
            <w:vAlign w:val="bottom"/>
            <w:hideMark/>
          </w:tcPr>
          <w:p w14:paraId="67204FCA" w14:textId="77777777" w:rsidR="001738AF" w:rsidRPr="001738AF" w:rsidRDefault="001738AF" w:rsidP="001738AF">
            <w:pPr>
              <w:widowControl/>
              <w:autoSpaceDE/>
              <w:autoSpaceDN/>
              <w:adjustRightInd/>
              <w:jc w:val="left"/>
              <w:rPr>
                <w:rFonts w:ascii="Calibri" w:hAnsi="Calibri"/>
                <w:b/>
                <w:bCs/>
                <w:color w:val="000000"/>
                <w:sz w:val="18"/>
                <w:szCs w:val="18"/>
              </w:rPr>
            </w:pPr>
            <w:r w:rsidRPr="001738AF">
              <w:rPr>
                <w:rFonts w:ascii="Calibri" w:hAnsi="Calibri"/>
                <w:b/>
                <w:bCs/>
                <w:color w:val="000000"/>
                <w:sz w:val="18"/>
                <w:szCs w:val="18"/>
              </w:rPr>
              <w:t>Ukupni zbroj</w:t>
            </w:r>
          </w:p>
        </w:tc>
        <w:tc>
          <w:tcPr>
            <w:tcW w:w="485"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5DA1F716"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11.042.707,23</w:t>
            </w:r>
          </w:p>
        </w:tc>
        <w:tc>
          <w:tcPr>
            <w:tcW w:w="485" w:type="pct"/>
            <w:tcBorders>
              <w:top w:val="single" w:sz="4" w:space="0" w:color="366092"/>
              <w:left w:val="nil"/>
              <w:bottom w:val="single" w:sz="8" w:space="0" w:color="366092"/>
              <w:right w:val="nil"/>
            </w:tcBorders>
            <w:shd w:val="clear" w:color="auto" w:fill="auto"/>
            <w:noWrap/>
            <w:vAlign w:val="bottom"/>
            <w:hideMark/>
          </w:tcPr>
          <w:p w14:paraId="2990E6C1"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14.406.098</w:t>
            </w:r>
          </w:p>
        </w:tc>
        <w:tc>
          <w:tcPr>
            <w:tcW w:w="485"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36F132D6"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11.244.276</w:t>
            </w:r>
          </w:p>
        </w:tc>
        <w:tc>
          <w:tcPr>
            <w:tcW w:w="485" w:type="pct"/>
            <w:tcBorders>
              <w:top w:val="single" w:sz="4" w:space="0" w:color="366092"/>
              <w:left w:val="nil"/>
              <w:bottom w:val="single" w:sz="8" w:space="0" w:color="366092"/>
              <w:right w:val="nil"/>
            </w:tcBorders>
            <w:shd w:val="clear" w:color="auto" w:fill="auto"/>
            <w:noWrap/>
            <w:vAlign w:val="bottom"/>
            <w:hideMark/>
          </w:tcPr>
          <w:p w14:paraId="5E380279"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11.062.318,02</w:t>
            </w:r>
          </w:p>
        </w:tc>
        <w:tc>
          <w:tcPr>
            <w:tcW w:w="499"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25C3C7C8"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100,18</w:t>
            </w:r>
          </w:p>
        </w:tc>
        <w:tc>
          <w:tcPr>
            <w:tcW w:w="411" w:type="pct"/>
            <w:tcBorders>
              <w:top w:val="single" w:sz="4" w:space="0" w:color="366092"/>
              <w:left w:val="nil"/>
              <w:bottom w:val="single" w:sz="8" w:space="0" w:color="366092"/>
              <w:right w:val="nil"/>
            </w:tcBorders>
            <w:shd w:val="clear" w:color="auto" w:fill="auto"/>
            <w:noWrap/>
            <w:vAlign w:val="bottom"/>
            <w:hideMark/>
          </w:tcPr>
          <w:p w14:paraId="62D405BE" w14:textId="77777777" w:rsidR="001738AF" w:rsidRPr="001738AF" w:rsidRDefault="001738AF" w:rsidP="001738AF">
            <w:pPr>
              <w:widowControl/>
              <w:autoSpaceDE/>
              <w:autoSpaceDN/>
              <w:adjustRightInd/>
              <w:jc w:val="right"/>
              <w:rPr>
                <w:rFonts w:ascii="Calibri" w:hAnsi="Calibri"/>
                <w:b/>
                <w:bCs/>
                <w:color w:val="000000"/>
                <w:sz w:val="18"/>
                <w:szCs w:val="18"/>
              </w:rPr>
            </w:pPr>
            <w:r w:rsidRPr="001738AF">
              <w:rPr>
                <w:rFonts w:ascii="Calibri" w:hAnsi="Calibri"/>
                <w:b/>
                <w:bCs/>
                <w:color w:val="000000"/>
                <w:sz w:val="18"/>
                <w:szCs w:val="18"/>
              </w:rPr>
              <w:t>98,38</w:t>
            </w:r>
          </w:p>
        </w:tc>
      </w:tr>
    </w:tbl>
    <w:p w14:paraId="0FFFE97A" w14:textId="77777777" w:rsidR="001738AF" w:rsidRDefault="001738AF" w:rsidP="003E687E">
      <w:pPr>
        <w:spacing w:line="276" w:lineRule="auto"/>
        <w:rPr>
          <w:rFonts w:cs="Arial"/>
          <w:color w:val="000000" w:themeColor="text1"/>
        </w:rPr>
      </w:pPr>
    </w:p>
    <w:p w14:paraId="6CDBA9D5" w14:textId="4C7AC3FF" w:rsidR="003E687E" w:rsidRDefault="003E687E" w:rsidP="003E687E">
      <w:pPr>
        <w:spacing w:line="276" w:lineRule="auto"/>
        <w:rPr>
          <w:rFonts w:cs="Arial"/>
        </w:rPr>
      </w:pPr>
    </w:p>
    <w:p w14:paraId="6186C362" w14:textId="77777777" w:rsidR="001738AF" w:rsidRDefault="001738AF" w:rsidP="00F82794">
      <w:pPr>
        <w:widowControl/>
        <w:autoSpaceDE/>
        <w:autoSpaceDN/>
        <w:adjustRightInd/>
        <w:spacing w:after="160" w:line="259" w:lineRule="auto"/>
        <w:jc w:val="left"/>
        <w:rPr>
          <w:rFonts w:cs="Arial"/>
        </w:rPr>
      </w:pPr>
    </w:p>
    <w:p w14:paraId="5F4F4604" w14:textId="4E20F5E9" w:rsidR="003E687E" w:rsidRDefault="003E687E" w:rsidP="00F82794">
      <w:pPr>
        <w:widowControl/>
        <w:autoSpaceDE/>
        <w:autoSpaceDN/>
        <w:adjustRightInd/>
        <w:spacing w:after="160" w:line="259" w:lineRule="auto"/>
        <w:jc w:val="left"/>
        <w:rPr>
          <w:rFonts w:cs="Arial"/>
          <w:color w:val="000000" w:themeColor="text1"/>
        </w:rPr>
      </w:pPr>
      <w:r w:rsidRPr="003E687E">
        <w:rPr>
          <w:rFonts w:cs="Arial"/>
          <w:color w:val="000000" w:themeColor="text1"/>
        </w:rPr>
        <w:lastRenderedPageBreak/>
        <w:t xml:space="preserve">Tablica 4 </w:t>
      </w:r>
    </w:p>
    <w:tbl>
      <w:tblPr>
        <w:tblW w:w="5000" w:type="pct"/>
        <w:tblLook w:val="04A0" w:firstRow="1" w:lastRow="0" w:firstColumn="1" w:lastColumn="0" w:noHBand="0" w:noVBand="1"/>
      </w:tblPr>
      <w:tblGrid>
        <w:gridCol w:w="5707"/>
        <w:gridCol w:w="1478"/>
        <w:gridCol w:w="1477"/>
        <w:gridCol w:w="1477"/>
        <w:gridCol w:w="1477"/>
        <w:gridCol w:w="1477"/>
        <w:gridCol w:w="1477"/>
      </w:tblGrid>
      <w:tr w:rsidR="00022F3D" w:rsidRPr="00022F3D" w14:paraId="38B8DBEB" w14:textId="77777777" w:rsidTr="00022F3D">
        <w:trPr>
          <w:trHeight w:val="240"/>
        </w:trPr>
        <w:tc>
          <w:tcPr>
            <w:tcW w:w="5000" w:type="pct"/>
            <w:gridSpan w:val="7"/>
            <w:tcBorders>
              <w:top w:val="nil"/>
              <w:left w:val="nil"/>
              <w:bottom w:val="nil"/>
              <w:right w:val="nil"/>
            </w:tcBorders>
            <w:shd w:val="clear" w:color="auto" w:fill="auto"/>
            <w:vAlign w:val="center"/>
            <w:hideMark/>
          </w:tcPr>
          <w:p w14:paraId="5EA69BEE" w14:textId="77777777" w:rsidR="00022F3D" w:rsidRPr="00022F3D" w:rsidRDefault="00022F3D" w:rsidP="00022F3D">
            <w:pPr>
              <w:widowControl/>
              <w:autoSpaceDE/>
              <w:autoSpaceDN/>
              <w:adjustRightInd/>
              <w:jc w:val="center"/>
              <w:rPr>
                <w:rFonts w:cs="Arial"/>
                <w:b/>
                <w:bCs/>
                <w:color w:val="000000"/>
                <w:sz w:val="18"/>
                <w:szCs w:val="18"/>
              </w:rPr>
            </w:pPr>
            <w:r w:rsidRPr="00022F3D">
              <w:rPr>
                <w:rFonts w:cs="Arial"/>
                <w:b/>
                <w:bCs/>
                <w:color w:val="000000"/>
                <w:sz w:val="18"/>
                <w:szCs w:val="18"/>
              </w:rPr>
              <w:t>1.2. RAČUN PRIHODA I RASHODA</w:t>
            </w:r>
          </w:p>
        </w:tc>
      </w:tr>
      <w:tr w:rsidR="00022F3D" w:rsidRPr="00022F3D" w14:paraId="4710DA9A" w14:textId="77777777" w:rsidTr="00022F3D">
        <w:trPr>
          <w:trHeight w:val="240"/>
        </w:trPr>
        <w:tc>
          <w:tcPr>
            <w:tcW w:w="1958" w:type="pct"/>
            <w:tcBorders>
              <w:top w:val="nil"/>
              <w:left w:val="nil"/>
              <w:bottom w:val="nil"/>
              <w:right w:val="nil"/>
            </w:tcBorders>
            <w:shd w:val="clear" w:color="auto" w:fill="auto"/>
            <w:vAlign w:val="bottom"/>
            <w:hideMark/>
          </w:tcPr>
          <w:p w14:paraId="26D993C6" w14:textId="77777777" w:rsidR="00022F3D" w:rsidRPr="00022F3D" w:rsidRDefault="00022F3D" w:rsidP="00022F3D">
            <w:pPr>
              <w:widowControl/>
              <w:autoSpaceDE/>
              <w:autoSpaceDN/>
              <w:adjustRightInd/>
              <w:jc w:val="center"/>
              <w:rPr>
                <w:rFonts w:cs="Arial"/>
                <w:b/>
                <w:bCs/>
                <w:color w:val="000000"/>
                <w:sz w:val="18"/>
                <w:szCs w:val="18"/>
              </w:rPr>
            </w:pPr>
          </w:p>
        </w:tc>
        <w:tc>
          <w:tcPr>
            <w:tcW w:w="507" w:type="pct"/>
            <w:tcBorders>
              <w:top w:val="nil"/>
              <w:left w:val="nil"/>
              <w:bottom w:val="nil"/>
              <w:right w:val="nil"/>
            </w:tcBorders>
            <w:shd w:val="clear" w:color="auto" w:fill="auto"/>
            <w:vAlign w:val="bottom"/>
            <w:hideMark/>
          </w:tcPr>
          <w:p w14:paraId="0406DEC3"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169C8B6D"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0E9D8B00"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4CEA2D88"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4EE18C87"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3DD8F3E1" w14:textId="77777777" w:rsidR="00022F3D" w:rsidRPr="00022F3D" w:rsidRDefault="00022F3D" w:rsidP="00022F3D">
            <w:pPr>
              <w:widowControl/>
              <w:autoSpaceDE/>
              <w:autoSpaceDN/>
              <w:adjustRightInd/>
              <w:jc w:val="left"/>
              <w:rPr>
                <w:rFonts w:ascii="Times New Roman" w:hAnsi="Times New Roman"/>
                <w:sz w:val="20"/>
                <w:szCs w:val="20"/>
              </w:rPr>
            </w:pPr>
          </w:p>
        </w:tc>
      </w:tr>
      <w:tr w:rsidR="00022F3D" w:rsidRPr="00022F3D" w14:paraId="2DCD0820" w14:textId="77777777" w:rsidTr="00022F3D">
        <w:trPr>
          <w:trHeight w:val="240"/>
        </w:trPr>
        <w:tc>
          <w:tcPr>
            <w:tcW w:w="5000" w:type="pct"/>
            <w:gridSpan w:val="7"/>
            <w:tcBorders>
              <w:top w:val="nil"/>
              <w:left w:val="nil"/>
              <w:bottom w:val="nil"/>
              <w:right w:val="nil"/>
            </w:tcBorders>
            <w:shd w:val="clear" w:color="auto" w:fill="auto"/>
            <w:vAlign w:val="center"/>
            <w:hideMark/>
          </w:tcPr>
          <w:p w14:paraId="6C9F13F1" w14:textId="77777777" w:rsidR="00022F3D" w:rsidRPr="00022F3D" w:rsidRDefault="00022F3D" w:rsidP="00022F3D">
            <w:pPr>
              <w:widowControl/>
              <w:autoSpaceDE/>
              <w:autoSpaceDN/>
              <w:adjustRightInd/>
              <w:jc w:val="center"/>
              <w:rPr>
                <w:rFonts w:cs="Arial"/>
                <w:b/>
                <w:bCs/>
                <w:color w:val="000000"/>
                <w:sz w:val="18"/>
                <w:szCs w:val="18"/>
              </w:rPr>
            </w:pPr>
            <w:r w:rsidRPr="00022F3D">
              <w:rPr>
                <w:rFonts w:cs="Arial"/>
                <w:b/>
                <w:bCs/>
                <w:color w:val="000000"/>
                <w:sz w:val="18"/>
                <w:szCs w:val="18"/>
              </w:rPr>
              <w:t>1.2.3. IZVJEŠTAJ O RASHODIMA PREMA FUNKCIJSKOJ KLASIFIKACIJI</w:t>
            </w:r>
          </w:p>
        </w:tc>
      </w:tr>
      <w:tr w:rsidR="00022F3D" w:rsidRPr="00022F3D" w14:paraId="066AFEB6" w14:textId="77777777" w:rsidTr="00022F3D">
        <w:trPr>
          <w:trHeight w:val="240"/>
        </w:trPr>
        <w:tc>
          <w:tcPr>
            <w:tcW w:w="1958" w:type="pct"/>
            <w:tcBorders>
              <w:top w:val="nil"/>
              <w:left w:val="nil"/>
              <w:bottom w:val="nil"/>
              <w:right w:val="nil"/>
            </w:tcBorders>
            <w:shd w:val="clear" w:color="auto" w:fill="auto"/>
            <w:vAlign w:val="center"/>
            <w:hideMark/>
          </w:tcPr>
          <w:p w14:paraId="2DBD8BF8" w14:textId="77777777" w:rsidR="00022F3D" w:rsidRPr="00022F3D" w:rsidRDefault="00022F3D" w:rsidP="00022F3D">
            <w:pPr>
              <w:widowControl/>
              <w:autoSpaceDE/>
              <w:autoSpaceDN/>
              <w:adjustRightInd/>
              <w:jc w:val="center"/>
              <w:rPr>
                <w:rFonts w:cs="Arial"/>
                <w:b/>
                <w:bCs/>
                <w:color w:val="000000"/>
                <w:sz w:val="18"/>
                <w:szCs w:val="18"/>
              </w:rPr>
            </w:pPr>
          </w:p>
        </w:tc>
        <w:tc>
          <w:tcPr>
            <w:tcW w:w="507" w:type="pct"/>
            <w:tcBorders>
              <w:top w:val="nil"/>
              <w:left w:val="nil"/>
              <w:bottom w:val="nil"/>
              <w:right w:val="nil"/>
            </w:tcBorders>
            <w:shd w:val="clear" w:color="auto" w:fill="auto"/>
            <w:vAlign w:val="bottom"/>
            <w:hideMark/>
          </w:tcPr>
          <w:p w14:paraId="5BAF627D"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7262347E"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3C84B2DF"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49CEDA78"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1FA0160C" w14:textId="77777777" w:rsidR="00022F3D" w:rsidRPr="00022F3D" w:rsidRDefault="00022F3D" w:rsidP="00022F3D">
            <w:pPr>
              <w:widowControl/>
              <w:autoSpaceDE/>
              <w:autoSpaceDN/>
              <w:adjustRightInd/>
              <w:jc w:val="left"/>
              <w:rPr>
                <w:rFonts w:ascii="Times New Roman" w:hAnsi="Times New Roman"/>
                <w:sz w:val="20"/>
                <w:szCs w:val="20"/>
              </w:rPr>
            </w:pPr>
          </w:p>
        </w:tc>
        <w:tc>
          <w:tcPr>
            <w:tcW w:w="507" w:type="pct"/>
            <w:tcBorders>
              <w:top w:val="nil"/>
              <w:left w:val="nil"/>
              <w:bottom w:val="nil"/>
              <w:right w:val="nil"/>
            </w:tcBorders>
            <w:shd w:val="clear" w:color="auto" w:fill="auto"/>
            <w:vAlign w:val="bottom"/>
            <w:hideMark/>
          </w:tcPr>
          <w:p w14:paraId="5B7A85C7" w14:textId="77777777" w:rsidR="00022F3D" w:rsidRPr="00022F3D" w:rsidRDefault="00022F3D" w:rsidP="00022F3D">
            <w:pPr>
              <w:widowControl/>
              <w:autoSpaceDE/>
              <w:autoSpaceDN/>
              <w:adjustRightInd/>
              <w:jc w:val="left"/>
              <w:rPr>
                <w:rFonts w:ascii="Times New Roman" w:hAnsi="Times New Roman"/>
                <w:sz w:val="20"/>
                <w:szCs w:val="20"/>
              </w:rPr>
            </w:pPr>
          </w:p>
        </w:tc>
      </w:tr>
      <w:tr w:rsidR="00022F3D" w:rsidRPr="00022F3D" w14:paraId="61FD37CD" w14:textId="77777777" w:rsidTr="00022F3D">
        <w:trPr>
          <w:trHeight w:val="720"/>
        </w:trPr>
        <w:tc>
          <w:tcPr>
            <w:tcW w:w="1958"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51BA304F"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RASHODI</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6EDC1645"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IZVRŠENJE 01.01. - 31.12.2022.</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0C4F5187"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IZVORNI PLAN ILI REBALANS ZA 2023.</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59F75047"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TEKUĆI PLAN ZA 2023.</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7FCFA262"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IZVRŠENJE 01.01. - 31.12.2023.</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5B958DB3"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Indeks</w:t>
            </w:r>
          </w:p>
        </w:tc>
        <w:tc>
          <w:tcPr>
            <w:tcW w:w="507" w:type="pct"/>
            <w:tcBorders>
              <w:top w:val="single" w:sz="4" w:space="0" w:color="auto"/>
              <w:left w:val="nil"/>
              <w:bottom w:val="single" w:sz="4" w:space="0" w:color="auto"/>
              <w:right w:val="single" w:sz="4" w:space="0" w:color="auto"/>
            </w:tcBorders>
            <w:shd w:val="clear" w:color="000000" w:fill="92CDDC"/>
            <w:vAlign w:val="center"/>
            <w:hideMark/>
          </w:tcPr>
          <w:p w14:paraId="1369EEDC"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Indeks</w:t>
            </w:r>
          </w:p>
        </w:tc>
      </w:tr>
      <w:tr w:rsidR="00022F3D" w:rsidRPr="00022F3D" w14:paraId="0D613B20" w14:textId="77777777" w:rsidTr="00022F3D">
        <w:trPr>
          <w:trHeight w:val="240"/>
        </w:trPr>
        <w:tc>
          <w:tcPr>
            <w:tcW w:w="1958" w:type="pct"/>
            <w:tcBorders>
              <w:top w:val="nil"/>
              <w:left w:val="single" w:sz="4" w:space="0" w:color="auto"/>
              <w:bottom w:val="single" w:sz="4" w:space="0" w:color="auto"/>
              <w:right w:val="single" w:sz="4" w:space="0" w:color="auto"/>
            </w:tcBorders>
            <w:shd w:val="clear" w:color="000000" w:fill="92CDDC"/>
            <w:noWrap/>
            <w:vAlign w:val="center"/>
            <w:hideMark/>
          </w:tcPr>
          <w:p w14:paraId="4A52910F"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 </w:t>
            </w:r>
          </w:p>
        </w:tc>
        <w:tc>
          <w:tcPr>
            <w:tcW w:w="507" w:type="pct"/>
            <w:tcBorders>
              <w:top w:val="nil"/>
              <w:left w:val="nil"/>
              <w:bottom w:val="single" w:sz="4" w:space="0" w:color="auto"/>
              <w:right w:val="single" w:sz="4" w:space="0" w:color="auto"/>
            </w:tcBorders>
            <w:shd w:val="clear" w:color="000000" w:fill="92CDDC"/>
            <w:noWrap/>
            <w:vAlign w:val="center"/>
            <w:hideMark/>
          </w:tcPr>
          <w:p w14:paraId="5C93C144"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1</w:t>
            </w:r>
          </w:p>
        </w:tc>
        <w:tc>
          <w:tcPr>
            <w:tcW w:w="507" w:type="pct"/>
            <w:tcBorders>
              <w:top w:val="nil"/>
              <w:left w:val="nil"/>
              <w:bottom w:val="single" w:sz="4" w:space="0" w:color="auto"/>
              <w:right w:val="single" w:sz="4" w:space="0" w:color="auto"/>
            </w:tcBorders>
            <w:shd w:val="clear" w:color="000000" w:fill="92CDDC"/>
            <w:noWrap/>
            <w:vAlign w:val="center"/>
            <w:hideMark/>
          </w:tcPr>
          <w:p w14:paraId="2B6A3F39"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2</w:t>
            </w:r>
          </w:p>
        </w:tc>
        <w:tc>
          <w:tcPr>
            <w:tcW w:w="507" w:type="pct"/>
            <w:tcBorders>
              <w:top w:val="nil"/>
              <w:left w:val="nil"/>
              <w:bottom w:val="single" w:sz="4" w:space="0" w:color="auto"/>
              <w:right w:val="single" w:sz="4" w:space="0" w:color="auto"/>
            </w:tcBorders>
            <w:shd w:val="clear" w:color="000000" w:fill="92CDDC"/>
            <w:noWrap/>
            <w:vAlign w:val="center"/>
            <w:hideMark/>
          </w:tcPr>
          <w:p w14:paraId="2608284E"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3</w:t>
            </w:r>
          </w:p>
        </w:tc>
        <w:tc>
          <w:tcPr>
            <w:tcW w:w="507" w:type="pct"/>
            <w:tcBorders>
              <w:top w:val="nil"/>
              <w:left w:val="nil"/>
              <w:bottom w:val="single" w:sz="4" w:space="0" w:color="auto"/>
              <w:right w:val="single" w:sz="4" w:space="0" w:color="auto"/>
            </w:tcBorders>
            <w:shd w:val="clear" w:color="000000" w:fill="92CDDC"/>
            <w:noWrap/>
            <w:vAlign w:val="center"/>
            <w:hideMark/>
          </w:tcPr>
          <w:p w14:paraId="21FEED76"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4</w:t>
            </w:r>
          </w:p>
        </w:tc>
        <w:tc>
          <w:tcPr>
            <w:tcW w:w="507" w:type="pct"/>
            <w:tcBorders>
              <w:top w:val="nil"/>
              <w:left w:val="nil"/>
              <w:bottom w:val="single" w:sz="4" w:space="0" w:color="auto"/>
              <w:right w:val="single" w:sz="4" w:space="0" w:color="auto"/>
            </w:tcBorders>
            <w:shd w:val="clear" w:color="000000" w:fill="92CDDC"/>
            <w:noWrap/>
            <w:vAlign w:val="center"/>
            <w:hideMark/>
          </w:tcPr>
          <w:p w14:paraId="4BE89964"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5 (4/1)*100</w:t>
            </w:r>
          </w:p>
        </w:tc>
        <w:tc>
          <w:tcPr>
            <w:tcW w:w="507" w:type="pct"/>
            <w:tcBorders>
              <w:top w:val="nil"/>
              <w:left w:val="nil"/>
              <w:bottom w:val="single" w:sz="4" w:space="0" w:color="auto"/>
              <w:right w:val="single" w:sz="4" w:space="0" w:color="auto"/>
            </w:tcBorders>
            <w:shd w:val="clear" w:color="000000" w:fill="92CDDC"/>
            <w:noWrap/>
            <w:vAlign w:val="center"/>
            <w:hideMark/>
          </w:tcPr>
          <w:p w14:paraId="35515CC8" w14:textId="77777777" w:rsidR="00022F3D" w:rsidRPr="00022F3D" w:rsidRDefault="00022F3D" w:rsidP="00022F3D">
            <w:pPr>
              <w:widowControl/>
              <w:autoSpaceDE/>
              <w:autoSpaceDN/>
              <w:adjustRightInd/>
              <w:jc w:val="center"/>
              <w:rPr>
                <w:rFonts w:ascii="Calibri" w:hAnsi="Calibri"/>
                <w:b/>
                <w:bCs/>
                <w:color w:val="000000"/>
                <w:sz w:val="18"/>
                <w:szCs w:val="18"/>
              </w:rPr>
            </w:pPr>
            <w:r w:rsidRPr="00022F3D">
              <w:rPr>
                <w:rFonts w:ascii="Calibri" w:hAnsi="Calibri"/>
                <w:b/>
                <w:bCs/>
                <w:color w:val="000000"/>
                <w:sz w:val="18"/>
                <w:szCs w:val="18"/>
              </w:rPr>
              <w:t>6 (4/3)*100</w:t>
            </w:r>
          </w:p>
        </w:tc>
      </w:tr>
      <w:tr w:rsidR="00022F3D" w:rsidRPr="00022F3D" w14:paraId="2C9FDFB1" w14:textId="77777777" w:rsidTr="00022F3D">
        <w:trPr>
          <w:trHeight w:val="300"/>
        </w:trPr>
        <w:tc>
          <w:tcPr>
            <w:tcW w:w="1958" w:type="pct"/>
            <w:tcBorders>
              <w:top w:val="single" w:sz="4" w:space="0" w:color="95B3D7"/>
              <w:left w:val="nil"/>
              <w:bottom w:val="single" w:sz="4" w:space="0" w:color="95B3D7"/>
              <w:right w:val="nil"/>
            </w:tcBorders>
            <w:shd w:val="clear" w:color="DCE6F1" w:fill="DCE6F1"/>
            <w:noWrap/>
            <w:vAlign w:val="bottom"/>
            <w:hideMark/>
          </w:tcPr>
          <w:p w14:paraId="662605A0" w14:textId="77777777" w:rsidR="00022F3D" w:rsidRPr="00022F3D" w:rsidRDefault="00022F3D" w:rsidP="00022F3D">
            <w:pPr>
              <w:widowControl/>
              <w:autoSpaceDE/>
              <w:autoSpaceDN/>
              <w:adjustRightInd/>
              <w:jc w:val="left"/>
              <w:rPr>
                <w:rFonts w:ascii="Calibri" w:hAnsi="Calibri"/>
                <w:b/>
                <w:bCs/>
                <w:color w:val="000000"/>
                <w:sz w:val="18"/>
                <w:szCs w:val="18"/>
              </w:rPr>
            </w:pPr>
            <w:r w:rsidRPr="00022F3D">
              <w:rPr>
                <w:rFonts w:ascii="Calibri" w:hAnsi="Calibri"/>
                <w:b/>
                <w:bCs/>
                <w:color w:val="000000"/>
                <w:sz w:val="18"/>
                <w:szCs w:val="18"/>
              </w:rPr>
              <w:t>01 Opće i javne usluge</w:t>
            </w:r>
          </w:p>
        </w:tc>
        <w:tc>
          <w:tcPr>
            <w:tcW w:w="507"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5BB2C482"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11.042.707,23</w:t>
            </w:r>
          </w:p>
        </w:tc>
        <w:tc>
          <w:tcPr>
            <w:tcW w:w="507" w:type="pct"/>
            <w:tcBorders>
              <w:top w:val="single" w:sz="4" w:space="0" w:color="95B3D7"/>
              <w:left w:val="nil"/>
              <w:bottom w:val="single" w:sz="4" w:space="0" w:color="95B3D7"/>
              <w:right w:val="nil"/>
            </w:tcBorders>
            <w:shd w:val="clear" w:color="DCE6F1" w:fill="DCE6F1"/>
            <w:noWrap/>
            <w:vAlign w:val="bottom"/>
            <w:hideMark/>
          </w:tcPr>
          <w:p w14:paraId="742992F4"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14.406.098</w:t>
            </w:r>
          </w:p>
        </w:tc>
        <w:tc>
          <w:tcPr>
            <w:tcW w:w="507"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79F791C6"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11.244.276</w:t>
            </w:r>
          </w:p>
        </w:tc>
        <w:tc>
          <w:tcPr>
            <w:tcW w:w="507" w:type="pct"/>
            <w:tcBorders>
              <w:top w:val="single" w:sz="4" w:space="0" w:color="95B3D7"/>
              <w:left w:val="nil"/>
              <w:bottom w:val="single" w:sz="4" w:space="0" w:color="95B3D7"/>
              <w:right w:val="nil"/>
            </w:tcBorders>
            <w:shd w:val="clear" w:color="DCE6F1" w:fill="DCE6F1"/>
            <w:noWrap/>
            <w:vAlign w:val="bottom"/>
            <w:hideMark/>
          </w:tcPr>
          <w:p w14:paraId="29A051F1"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11.062.318,02</w:t>
            </w:r>
          </w:p>
        </w:tc>
        <w:tc>
          <w:tcPr>
            <w:tcW w:w="507" w:type="pct"/>
            <w:tcBorders>
              <w:top w:val="single" w:sz="4" w:space="0" w:color="95B3D7"/>
              <w:left w:val="single" w:sz="4" w:space="0" w:color="95B3D7"/>
              <w:bottom w:val="single" w:sz="4" w:space="0" w:color="95B3D7"/>
              <w:right w:val="single" w:sz="4" w:space="0" w:color="95B3D7"/>
            </w:tcBorders>
            <w:shd w:val="clear" w:color="DCE6F1" w:fill="DCE6F1"/>
            <w:noWrap/>
            <w:vAlign w:val="bottom"/>
            <w:hideMark/>
          </w:tcPr>
          <w:p w14:paraId="06744B84"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100,18</w:t>
            </w:r>
          </w:p>
        </w:tc>
        <w:tc>
          <w:tcPr>
            <w:tcW w:w="507" w:type="pct"/>
            <w:tcBorders>
              <w:top w:val="single" w:sz="4" w:space="0" w:color="95B3D7"/>
              <w:left w:val="nil"/>
              <w:bottom w:val="single" w:sz="4" w:space="0" w:color="95B3D7"/>
              <w:right w:val="nil"/>
            </w:tcBorders>
            <w:shd w:val="clear" w:color="DCE6F1" w:fill="DCE6F1"/>
            <w:noWrap/>
            <w:vAlign w:val="bottom"/>
            <w:hideMark/>
          </w:tcPr>
          <w:p w14:paraId="3681CCF0"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98,38</w:t>
            </w:r>
          </w:p>
        </w:tc>
      </w:tr>
      <w:tr w:rsidR="00022F3D" w:rsidRPr="00022F3D" w14:paraId="3E73F5D0" w14:textId="77777777" w:rsidTr="00022F3D">
        <w:trPr>
          <w:trHeight w:val="300"/>
        </w:trPr>
        <w:tc>
          <w:tcPr>
            <w:tcW w:w="1958" w:type="pct"/>
            <w:tcBorders>
              <w:top w:val="nil"/>
              <w:left w:val="nil"/>
              <w:bottom w:val="nil"/>
              <w:right w:val="nil"/>
            </w:tcBorders>
            <w:shd w:val="clear" w:color="auto" w:fill="auto"/>
            <w:noWrap/>
            <w:vAlign w:val="bottom"/>
            <w:hideMark/>
          </w:tcPr>
          <w:p w14:paraId="0C554E3D" w14:textId="77777777" w:rsidR="00022F3D" w:rsidRPr="00022F3D" w:rsidRDefault="00022F3D" w:rsidP="00022F3D">
            <w:pPr>
              <w:widowControl/>
              <w:autoSpaceDE/>
              <w:autoSpaceDN/>
              <w:adjustRightInd/>
              <w:ind w:firstLineChars="100" w:firstLine="180"/>
              <w:jc w:val="left"/>
              <w:rPr>
                <w:rFonts w:ascii="Calibri" w:hAnsi="Calibri"/>
                <w:color w:val="000000"/>
                <w:sz w:val="18"/>
                <w:szCs w:val="18"/>
              </w:rPr>
            </w:pPr>
            <w:r w:rsidRPr="00022F3D">
              <w:rPr>
                <w:rFonts w:ascii="Calibri" w:hAnsi="Calibri"/>
                <w:color w:val="000000"/>
                <w:sz w:val="18"/>
                <w:szCs w:val="18"/>
              </w:rPr>
              <w:t>011 Izvršna i zakonodavna tijela, financijski i fiskalni poslovi</w:t>
            </w:r>
          </w:p>
        </w:tc>
        <w:tc>
          <w:tcPr>
            <w:tcW w:w="507" w:type="pct"/>
            <w:tcBorders>
              <w:top w:val="nil"/>
              <w:left w:val="single" w:sz="4" w:space="0" w:color="95B3D7"/>
              <w:bottom w:val="nil"/>
              <w:right w:val="single" w:sz="4" w:space="0" w:color="95B3D7"/>
            </w:tcBorders>
            <w:shd w:val="clear" w:color="auto" w:fill="auto"/>
            <w:noWrap/>
            <w:vAlign w:val="bottom"/>
            <w:hideMark/>
          </w:tcPr>
          <w:p w14:paraId="3FA731D5"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11.042.707,23</w:t>
            </w:r>
          </w:p>
        </w:tc>
        <w:tc>
          <w:tcPr>
            <w:tcW w:w="507" w:type="pct"/>
            <w:tcBorders>
              <w:top w:val="nil"/>
              <w:left w:val="nil"/>
              <w:bottom w:val="nil"/>
              <w:right w:val="nil"/>
            </w:tcBorders>
            <w:shd w:val="clear" w:color="auto" w:fill="auto"/>
            <w:noWrap/>
            <w:vAlign w:val="bottom"/>
            <w:hideMark/>
          </w:tcPr>
          <w:p w14:paraId="0C2F90A6"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14.406.098</w:t>
            </w:r>
          </w:p>
        </w:tc>
        <w:tc>
          <w:tcPr>
            <w:tcW w:w="507" w:type="pct"/>
            <w:tcBorders>
              <w:top w:val="nil"/>
              <w:left w:val="single" w:sz="4" w:space="0" w:color="95B3D7"/>
              <w:bottom w:val="nil"/>
              <w:right w:val="single" w:sz="4" w:space="0" w:color="95B3D7"/>
            </w:tcBorders>
            <w:shd w:val="clear" w:color="auto" w:fill="auto"/>
            <w:noWrap/>
            <w:vAlign w:val="bottom"/>
            <w:hideMark/>
          </w:tcPr>
          <w:p w14:paraId="17CCE2BC"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11.244.276</w:t>
            </w:r>
          </w:p>
        </w:tc>
        <w:tc>
          <w:tcPr>
            <w:tcW w:w="507" w:type="pct"/>
            <w:tcBorders>
              <w:top w:val="nil"/>
              <w:left w:val="nil"/>
              <w:bottom w:val="nil"/>
              <w:right w:val="nil"/>
            </w:tcBorders>
            <w:shd w:val="clear" w:color="auto" w:fill="auto"/>
            <w:noWrap/>
            <w:vAlign w:val="bottom"/>
            <w:hideMark/>
          </w:tcPr>
          <w:p w14:paraId="2A230324"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11.062.318,02</w:t>
            </w:r>
          </w:p>
        </w:tc>
        <w:tc>
          <w:tcPr>
            <w:tcW w:w="507" w:type="pct"/>
            <w:tcBorders>
              <w:top w:val="nil"/>
              <w:left w:val="single" w:sz="4" w:space="0" w:color="95B3D7"/>
              <w:bottom w:val="nil"/>
              <w:right w:val="single" w:sz="4" w:space="0" w:color="95B3D7"/>
            </w:tcBorders>
            <w:shd w:val="clear" w:color="auto" w:fill="auto"/>
            <w:noWrap/>
            <w:vAlign w:val="bottom"/>
            <w:hideMark/>
          </w:tcPr>
          <w:p w14:paraId="1C3C4270"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100,18</w:t>
            </w:r>
          </w:p>
        </w:tc>
        <w:tc>
          <w:tcPr>
            <w:tcW w:w="507" w:type="pct"/>
            <w:tcBorders>
              <w:top w:val="nil"/>
              <w:left w:val="nil"/>
              <w:bottom w:val="nil"/>
              <w:right w:val="nil"/>
            </w:tcBorders>
            <w:shd w:val="clear" w:color="auto" w:fill="auto"/>
            <w:noWrap/>
            <w:vAlign w:val="bottom"/>
            <w:hideMark/>
          </w:tcPr>
          <w:p w14:paraId="4ECD8BAB" w14:textId="77777777" w:rsidR="00022F3D" w:rsidRPr="00022F3D" w:rsidRDefault="00022F3D" w:rsidP="00022F3D">
            <w:pPr>
              <w:widowControl/>
              <w:autoSpaceDE/>
              <w:autoSpaceDN/>
              <w:adjustRightInd/>
              <w:jc w:val="right"/>
              <w:rPr>
                <w:rFonts w:ascii="Calibri" w:hAnsi="Calibri"/>
                <w:color w:val="000000"/>
                <w:sz w:val="18"/>
                <w:szCs w:val="18"/>
              </w:rPr>
            </w:pPr>
            <w:r w:rsidRPr="00022F3D">
              <w:rPr>
                <w:rFonts w:ascii="Calibri" w:hAnsi="Calibri"/>
                <w:color w:val="000000"/>
                <w:sz w:val="18"/>
                <w:szCs w:val="18"/>
              </w:rPr>
              <w:t>98,38</w:t>
            </w:r>
          </w:p>
        </w:tc>
      </w:tr>
      <w:tr w:rsidR="00022F3D" w:rsidRPr="00022F3D" w14:paraId="6413C273" w14:textId="77777777" w:rsidTr="00022F3D">
        <w:trPr>
          <w:trHeight w:val="300"/>
        </w:trPr>
        <w:tc>
          <w:tcPr>
            <w:tcW w:w="1958" w:type="pct"/>
            <w:tcBorders>
              <w:top w:val="single" w:sz="4" w:space="0" w:color="366092"/>
              <w:left w:val="nil"/>
              <w:bottom w:val="single" w:sz="8" w:space="0" w:color="366092"/>
              <w:right w:val="nil"/>
            </w:tcBorders>
            <w:shd w:val="clear" w:color="auto" w:fill="auto"/>
            <w:noWrap/>
            <w:vAlign w:val="bottom"/>
            <w:hideMark/>
          </w:tcPr>
          <w:p w14:paraId="01AA0C7A" w14:textId="77777777" w:rsidR="00022F3D" w:rsidRPr="00022F3D" w:rsidRDefault="00022F3D" w:rsidP="00022F3D">
            <w:pPr>
              <w:widowControl/>
              <w:autoSpaceDE/>
              <w:autoSpaceDN/>
              <w:adjustRightInd/>
              <w:jc w:val="left"/>
              <w:rPr>
                <w:rFonts w:ascii="Calibri" w:hAnsi="Calibri"/>
                <w:b/>
                <w:bCs/>
                <w:color w:val="000000"/>
                <w:sz w:val="18"/>
                <w:szCs w:val="18"/>
              </w:rPr>
            </w:pPr>
            <w:r w:rsidRPr="00022F3D">
              <w:rPr>
                <w:rFonts w:ascii="Calibri" w:hAnsi="Calibri"/>
                <w:b/>
                <w:bCs/>
                <w:color w:val="000000"/>
                <w:sz w:val="18"/>
                <w:szCs w:val="18"/>
              </w:rPr>
              <w:t>Ukupni zbroj</w:t>
            </w:r>
          </w:p>
        </w:tc>
        <w:tc>
          <w:tcPr>
            <w:tcW w:w="507"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73AD449D"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11.042.707,23</w:t>
            </w:r>
          </w:p>
        </w:tc>
        <w:tc>
          <w:tcPr>
            <w:tcW w:w="507" w:type="pct"/>
            <w:tcBorders>
              <w:top w:val="single" w:sz="4" w:space="0" w:color="366092"/>
              <w:left w:val="nil"/>
              <w:bottom w:val="single" w:sz="8" w:space="0" w:color="366092"/>
              <w:right w:val="nil"/>
            </w:tcBorders>
            <w:shd w:val="clear" w:color="auto" w:fill="auto"/>
            <w:noWrap/>
            <w:vAlign w:val="bottom"/>
            <w:hideMark/>
          </w:tcPr>
          <w:p w14:paraId="592E1FE3"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14.406.098</w:t>
            </w:r>
          </w:p>
        </w:tc>
        <w:tc>
          <w:tcPr>
            <w:tcW w:w="507"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598A3F93"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11.244.276</w:t>
            </w:r>
          </w:p>
        </w:tc>
        <w:tc>
          <w:tcPr>
            <w:tcW w:w="507" w:type="pct"/>
            <w:tcBorders>
              <w:top w:val="single" w:sz="4" w:space="0" w:color="366092"/>
              <w:left w:val="nil"/>
              <w:bottom w:val="single" w:sz="8" w:space="0" w:color="366092"/>
              <w:right w:val="nil"/>
            </w:tcBorders>
            <w:shd w:val="clear" w:color="auto" w:fill="auto"/>
            <w:noWrap/>
            <w:vAlign w:val="bottom"/>
            <w:hideMark/>
          </w:tcPr>
          <w:p w14:paraId="27B5CAC3"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11.062.318,02</w:t>
            </w:r>
          </w:p>
        </w:tc>
        <w:tc>
          <w:tcPr>
            <w:tcW w:w="507" w:type="pct"/>
            <w:tcBorders>
              <w:top w:val="single" w:sz="4" w:space="0" w:color="366092"/>
              <w:left w:val="single" w:sz="4" w:space="0" w:color="95B3D7"/>
              <w:bottom w:val="single" w:sz="8" w:space="0" w:color="366092"/>
              <w:right w:val="single" w:sz="4" w:space="0" w:color="95B3D7"/>
            </w:tcBorders>
            <w:shd w:val="clear" w:color="auto" w:fill="auto"/>
            <w:noWrap/>
            <w:vAlign w:val="bottom"/>
            <w:hideMark/>
          </w:tcPr>
          <w:p w14:paraId="043064F3"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100,18</w:t>
            </w:r>
          </w:p>
        </w:tc>
        <w:tc>
          <w:tcPr>
            <w:tcW w:w="507" w:type="pct"/>
            <w:tcBorders>
              <w:top w:val="single" w:sz="4" w:space="0" w:color="366092"/>
              <w:left w:val="nil"/>
              <w:bottom w:val="single" w:sz="8" w:space="0" w:color="366092"/>
              <w:right w:val="nil"/>
            </w:tcBorders>
            <w:shd w:val="clear" w:color="auto" w:fill="auto"/>
            <w:noWrap/>
            <w:vAlign w:val="bottom"/>
            <w:hideMark/>
          </w:tcPr>
          <w:p w14:paraId="4F9D640A" w14:textId="77777777" w:rsidR="00022F3D" w:rsidRPr="00022F3D" w:rsidRDefault="00022F3D" w:rsidP="00022F3D">
            <w:pPr>
              <w:widowControl/>
              <w:autoSpaceDE/>
              <w:autoSpaceDN/>
              <w:adjustRightInd/>
              <w:jc w:val="right"/>
              <w:rPr>
                <w:rFonts w:ascii="Calibri" w:hAnsi="Calibri"/>
                <w:b/>
                <w:bCs/>
                <w:color w:val="000000"/>
                <w:sz w:val="18"/>
                <w:szCs w:val="18"/>
              </w:rPr>
            </w:pPr>
            <w:r w:rsidRPr="00022F3D">
              <w:rPr>
                <w:rFonts w:ascii="Calibri" w:hAnsi="Calibri"/>
                <w:b/>
                <w:bCs/>
                <w:color w:val="000000"/>
                <w:sz w:val="18"/>
                <w:szCs w:val="18"/>
              </w:rPr>
              <w:t>98,38</w:t>
            </w:r>
          </w:p>
        </w:tc>
      </w:tr>
    </w:tbl>
    <w:p w14:paraId="6DF7AB1D" w14:textId="77777777" w:rsidR="003E687E" w:rsidRDefault="003E687E" w:rsidP="003E687E">
      <w:pPr>
        <w:spacing w:line="276" w:lineRule="auto"/>
        <w:rPr>
          <w:rFonts w:cs="Arial"/>
          <w:color w:val="000000" w:themeColor="text1"/>
        </w:rPr>
      </w:pPr>
    </w:p>
    <w:p w14:paraId="5DE4702B" w14:textId="77777777" w:rsidR="003E687E" w:rsidRDefault="003E687E" w:rsidP="003E687E">
      <w:pPr>
        <w:spacing w:line="276" w:lineRule="auto"/>
        <w:rPr>
          <w:rFonts w:cs="Arial"/>
          <w:color w:val="000000" w:themeColor="text1"/>
        </w:rPr>
      </w:pPr>
    </w:p>
    <w:p w14:paraId="16820A84" w14:textId="77777777" w:rsidR="00D86DDC" w:rsidRDefault="00D86DDC" w:rsidP="002F24FC">
      <w:pPr>
        <w:pStyle w:val="Naslov2"/>
        <w:numPr>
          <w:ilvl w:val="1"/>
          <w:numId w:val="23"/>
        </w:numPr>
        <w:tabs>
          <w:tab w:val="left" w:pos="993"/>
        </w:tabs>
        <w:rPr>
          <w:rFonts w:ascii="Arial" w:hAnsi="Arial" w:cs="Arial"/>
          <w:b/>
          <w:color w:val="auto"/>
        </w:rPr>
        <w:sectPr w:rsidR="00D86DDC" w:rsidSect="00D86DDC">
          <w:pgSz w:w="16838" w:h="11906" w:orient="landscape" w:code="9"/>
          <w:pgMar w:top="1134" w:right="1134" w:bottom="1134" w:left="1134" w:header="567" w:footer="567" w:gutter="0"/>
          <w:cols w:space="708"/>
          <w:docGrid w:linePitch="360"/>
        </w:sectPr>
      </w:pPr>
    </w:p>
    <w:p w14:paraId="5A41D04B" w14:textId="638CD43F" w:rsidR="006C3A55" w:rsidRPr="002F24FC" w:rsidRDefault="006C3A55" w:rsidP="002F24FC">
      <w:pPr>
        <w:pStyle w:val="Naslov2"/>
        <w:numPr>
          <w:ilvl w:val="1"/>
          <w:numId w:val="23"/>
        </w:numPr>
        <w:tabs>
          <w:tab w:val="left" w:pos="993"/>
        </w:tabs>
        <w:rPr>
          <w:rFonts w:ascii="Arial" w:hAnsi="Arial" w:cs="Arial"/>
          <w:b/>
          <w:color w:val="auto"/>
        </w:rPr>
      </w:pPr>
      <w:bookmarkStart w:id="3" w:name="_Toc162444740"/>
      <w:r w:rsidRPr="002F24FC">
        <w:rPr>
          <w:rFonts w:ascii="Arial" w:hAnsi="Arial" w:cs="Arial"/>
          <w:b/>
          <w:color w:val="auto"/>
        </w:rPr>
        <w:lastRenderedPageBreak/>
        <w:t>Posebni dio</w:t>
      </w:r>
      <w:r w:rsidR="00CC1CCF">
        <w:rPr>
          <w:rFonts w:ascii="Arial" w:hAnsi="Arial" w:cs="Arial"/>
          <w:b/>
          <w:color w:val="auto"/>
        </w:rPr>
        <w:t xml:space="preserve"> godišnjeg</w:t>
      </w:r>
      <w:r w:rsidRPr="002F24FC">
        <w:rPr>
          <w:rFonts w:ascii="Arial" w:hAnsi="Arial" w:cs="Arial"/>
          <w:b/>
          <w:color w:val="auto"/>
        </w:rPr>
        <w:t xml:space="preserve"> izvještaja o izvršenju financijskog plana</w:t>
      </w:r>
      <w:bookmarkEnd w:id="3"/>
    </w:p>
    <w:p w14:paraId="7F56BC55" w14:textId="782B9BFA" w:rsidR="006C3A55" w:rsidRDefault="006C3A55" w:rsidP="006C3A55">
      <w:pPr>
        <w:pStyle w:val="Odlomakpopisa"/>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p>
    <w:p w14:paraId="5699E5A1" w14:textId="52C8865F" w:rsidR="006C3A55" w:rsidRDefault="00D66F59" w:rsidP="002F79C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6C3A55" w:rsidRPr="00D66F59">
        <w:rPr>
          <w:rFonts w:cs="Arial"/>
          <w:color w:val="000000" w:themeColor="text1"/>
        </w:rPr>
        <w:t xml:space="preserve">Posebni dio </w:t>
      </w:r>
      <w:r w:rsidR="00CC1CCF">
        <w:rPr>
          <w:rFonts w:cs="Arial"/>
          <w:color w:val="000000" w:themeColor="text1"/>
        </w:rPr>
        <w:t xml:space="preserve">godišnjeg </w:t>
      </w:r>
      <w:r w:rsidR="006C3A55" w:rsidRPr="00D66F59">
        <w:rPr>
          <w:rFonts w:cs="Arial"/>
          <w:color w:val="000000" w:themeColor="text1"/>
        </w:rPr>
        <w:t>izvještaja o izvršenju financijskog plana sadrži izvršenje rashoda i izdataka iskazanih po izvorima financiranja i ekonomskoj klasifikaciji, raspoređenih u programe koji se sastoje od aktivnosti i projekata</w:t>
      </w:r>
      <w:r w:rsidR="002F24FC">
        <w:rPr>
          <w:rFonts w:cs="Arial"/>
          <w:color w:val="000000" w:themeColor="text1"/>
        </w:rPr>
        <w:t xml:space="preserve">. </w:t>
      </w:r>
    </w:p>
    <w:p w14:paraId="45F01EF5" w14:textId="77777777" w:rsidR="006C3A55" w:rsidRPr="006C3A55" w:rsidRDefault="006C3A55" w:rsidP="006C3A5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360"/>
        <w:rPr>
          <w:rFonts w:cs="Arial"/>
          <w:color w:val="000000" w:themeColor="text1"/>
        </w:rPr>
      </w:pPr>
    </w:p>
    <w:p w14:paraId="70DF3D2E" w14:textId="0B086ED4" w:rsidR="008D18AC" w:rsidRDefault="00D96D65" w:rsidP="00B127E5">
      <w:pPr>
        <w:spacing w:line="276" w:lineRule="auto"/>
        <w:ind w:firstLine="709"/>
        <w:rPr>
          <w:rFonts w:cs="Arial"/>
          <w:color w:val="000000" w:themeColor="text1"/>
        </w:rPr>
      </w:pPr>
      <w:r>
        <w:rPr>
          <w:rFonts w:cs="Arial"/>
          <w:color w:val="000000" w:themeColor="text1"/>
        </w:rPr>
        <w:t xml:space="preserve">U tablici </w:t>
      </w:r>
      <w:r w:rsidR="00740F22">
        <w:rPr>
          <w:rFonts w:cs="Arial"/>
          <w:color w:val="000000" w:themeColor="text1"/>
        </w:rPr>
        <w:t>Posebni dio, Izvještaj po programskoj klasifikaciji daju se podaci o</w:t>
      </w:r>
      <w:r w:rsidR="00B127E5">
        <w:rPr>
          <w:rFonts w:cs="Arial"/>
          <w:color w:val="000000" w:themeColor="text1"/>
        </w:rPr>
        <w:t xml:space="preserve"> planiranim rashodima prema izvornom planu za 2023., planiranim rashodima prema tekućem planu za 2023. te izvršenim rashodima </w:t>
      </w:r>
      <w:r w:rsidR="00740F22">
        <w:rPr>
          <w:rFonts w:cs="Arial"/>
          <w:color w:val="000000" w:themeColor="text1"/>
        </w:rPr>
        <w:t>za</w:t>
      </w:r>
      <w:r w:rsidR="00B127E5">
        <w:rPr>
          <w:rFonts w:cs="Arial"/>
          <w:color w:val="000000" w:themeColor="text1"/>
        </w:rPr>
        <w:t xml:space="preserve"> 2023.  </w:t>
      </w:r>
    </w:p>
    <w:p w14:paraId="38B7E1A3" w14:textId="0E0811E8" w:rsidR="008D18AC" w:rsidRDefault="008D18AC" w:rsidP="00B127E5">
      <w:pPr>
        <w:spacing w:line="276" w:lineRule="auto"/>
        <w:ind w:firstLine="709"/>
        <w:rPr>
          <w:rFonts w:cs="Arial"/>
          <w:color w:val="000000" w:themeColor="text1"/>
        </w:rPr>
      </w:pPr>
    </w:p>
    <w:p w14:paraId="66A39B17" w14:textId="77DFEEB9" w:rsidR="008D18AC" w:rsidRDefault="008D18AC" w:rsidP="00B127E5">
      <w:pPr>
        <w:spacing w:line="276" w:lineRule="auto"/>
        <w:ind w:firstLine="709"/>
        <w:rPr>
          <w:rFonts w:cs="Arial"/>
          <w:color w:val="000000" w:themeColor="text1"/>
        </w:rPr>
      </w:pPr>
    </w:p>
    <w:p w14:paraId="43EBDD68" w14:textId="77777777" w:rsidR="008D18AC" w:rsidRDefault="008D18AC" w:rsidP="00B127E5">
      <w:pPr>
        <w:spacing w:line="276" w:lineRule="auto"/>
        <w:ind w:firstLine="709"/>
        <w:rPr>
          <w:rFonts w:cs="Arial"/>
          <w:color w:val="000000" w:themeColor="text1"/>
        </w:rPr>
        <w:sectPr w:rsidR="008D18AC" w:rsidSect="00D86DDC">
          <w:pgSz w:w="11906" w:h="16838" w:code="9"/>
          <w:pgMar w:top="1134" w:right="1134" w:bottom="1134" w:left="1134" w:header="567" w:footer="567" w:gutter="0"/>
          <w:cols w:space="708"/>
          <w:docGrid w:linePitch="360"/>
        </w:sectPr>
      </w:pPr>
    </w:p>
    <w:p w14:paraId="04321437" w14:textId="1B327589" w:rsidR="003E687E" w:rsidRDefault="003E687E" w:rsidP="003E687E">
      <w:pPr>
        <w:spacing w:line="276" w:lineRule="auto"/>
        <w:rPr>
          <w:rFonts w:cs="Arial"/>
          <w:color w:val="000000" w:themeColor="text1"/>
        </w:rPr>
      </w:pPr>
      <w:r w:rsidRPr="003C6EE2">
        <w:rPr>
          <w:rFonts w:cs="Arial"/>
          <w:color w:val="000000" w:themeColor="text1"/>
        </w:rPr>
        <w:lastRenderedPageBreak/>
        <w:t xml:space="preserve">Tablica 5 </w:t>
      </w:r>
    </w:p>
    <w:tbl>
      <w:tblPr>
        <w:tblW w:w="5115" w:type="pct"/>
        <w:tblLook w:val="04A0" w:firstRow="1" w:lastRow="0" w:firstColumn="1" w:lastColumn="0" w:noHBand="0" w:noVBand="1"/>
      </w:tblPr>
      <w:tblGrid>
        <w:gridCol w:w="4677"/>
        <w:gridCol w:w="1332"/>
        <w:gridCol w:w="1272"/>
        <w:gridCol w:w="1272"/>
        <w:gridCol w:w="1085"/>
        <w:gridCol w:w="222"/>
      </w:tblGrid>
      <w:tr w:rsidR="003A7F68" w:rsidRPr="003A7F68" w14:paraId="16720641" w14:textId="77777777" w:rsidTr="003A7F68">
        <w:trPr>
          <w:trHeight w:val="240"/>
        </w:trPr>
        <w:tc>
          <w:tcPr>
            <w:tcW w:w="4887" w:type="pct"/>
            <w:gridSpan w:val="5"/>
            <w:tcBorders>
              <w:top w:val="nil"/>
              <w:left w:val="nil"/>
              <w:bottom w:val="nil"/>
              <w:right w:val="nil"/>
            </w:tcBorders>
            <w:shd w:val="clear" w:color="auto" w:fill="auto"/>
            <w:vAlign w:val="center"/>
            <w:hideMark/>
          </w:tcPr>
          <w:p w14:paraId="0612A7A2" w14:textId="77777777" w:rsidR="003A7F68" w:rsidRPr="003A7F68" w:rsidRDefault="003A7F68" w:rsidP="003A7F68">
            <w:pPr>
              <w:widowControl/>
              <w:autoSpaceDE/>
              <w:autoSpaceDN/>
              <w:adjustRightInd/>
              <w:jc w:val="center"/>
              <w:rPr>
                <w:rFonts w:cs="Arial"/>
                <w:b/>
                <w:bCs/>
                <w:color w:val="000000"/>
                <w:sz w:val="18"/>
                <w:szCs w:val="18"/>
              </w:rPr>
            </w:pPr>
            <w:r w:rsidRPr="003A7F68">
              <w:rPr>
                <w:rFonts w:cs="Arial"/>
                <w:b/>
                <w:bCs/>
                <w:color w:val="000000"/>
                <w:sz w:val="18"/>
                <w:szCs w:val="18"/>
              </w:rPr>
              <w:t>2. POSEBNI DIO</w:t>
            </w:r>
          </w:p>
        </w:tc>
        <w:tc>
          <w:tcPr>
            <w:tcW w:w="113" w:type="pct"/>
            <w:tcBorders>
              <w:top w:val="nil"/>
              <w:left w:val="nil"/>
              <w:bottom w:val="nil"/>
              <w:right w:val="nil"/>
            </w:tcBorders>
            <w:shd w:val="clear" w:color="auto" w:fill="auto"/>
            <w:vAlign w:val="bottom"/>
            <w:hideMark/>
          </w:tcPr>
          <w:p w14:paraId="14B59DC3" w14:textId="77777777" w:rsidR="003A7F68" w:rsidRPr="003A7F68" w:rsidRDefault="003A7F68" w:rsidP="003A7F68">
            <w:pPr>
              <w:widowControl/>
              <w:autoSpaceDE/>
              <w:autoSpaceDN/>
              <w:adjustRightInd/>
              <w:jc w:val="center"/>
              <w:rPr>
                <w:rFonts w:cs="Arial"/>
                <w:b/>
                <w:bCs/>
                <w:color w:val="000000"/>
                <w:sz w:val="18"/>
                <w:szCs w:val="18"/>
              </w:rPr>
            </w:pPr>
          </w:p>
        </w:tc>
      </w:tr>
      <w:tr w:rsidR="003A7F68" w:rsidRPr="003A7F68" w14:paraId="4153F4AC" w14:textId="77777777" w:rsidTr="003A7F68">
        <w:trPr>
          <w:gridAfter w:val="1"/>
          <w:wAfter w:w="113" w:type="pct"/>
          <w:trHeight w:val="240"/>
        </w:trPr>
        <w:tc>
          <w:tcPr>
            <w:tcW w:w="2372" w:type="pct"/>
            <w:tcBorders>
              <w:top w:val="nil"/>
              <w:left w:val="nil"/>
              <w:bottom w:val="nil"/>
              <w:right w:val="nil"/>
            </w:tcBorders>
            <w:shd w:val="clear" w:color="auto" w:fill="auto"/>
            <w:vAlign w:val="center"/>
            <w:hideMark/>
          </w:tcPr>
          <w:p w14:paraId="2F6698DF" w14:textId="77777777" w:rsidR="003A7F68" w:rsidRPr="003A7F68" w:rsidRDefault="003A7F68" w:rsidP="003A7F68">
            <w:pPr>
              <w:widowControl/>
              <w:autoSpaceDE/>
              <w:autoSpaceDN/>
              <w:adjustRightInd/>
              <w:jc w:val="left"/>
              <w:rPr>
                <w:rFonts w:ascii="Times New Roman" w:hAnsi="Times New Roman"/>
                <w:sz w:val="20"/>
                <w:szCs w:val="20"/>
              </w:rPr>
            </w:pPr>
          </w:p>
        </w:tc>
        <w:tc>
          <w:tcPr>
            <w:tcW w:w="676" w:type="pct"/>
            <w:tcBorders>
              <w:top w:val="nil"/>
              <w:left w:val="nil"/>
              <w:bottom w:val="nil"/>
              <w:right w:val="nil"/>
            </w:tcBorders>
            <w:shd w:val="clear" w:color="auto" w:fill="auto"/>
            <w:vAlign w:val="center"/>
            <w:hideMark/>
          </w:tcPr>
          <w:p w14:paraId="0E0371C4" w14:textId="77777777" w:rsidR="003A7F68" w:rsidRPr="003A7F68" w:rsidRDefault="003A7F68" w:rsidP="003A7F68">
            <w:pPr>
              <w:widowControl/>
              <w:autoSpaceDE/>
              <w:autoSpaceDN/>
              <w:adjustRightInd/>
              <w:jc w:val="center"/>
              <w:rPr>
                <w:rFonts w:ascii="Times New Roman" w:hAnsi="Times New Roman"/>
                <w:sz w:val="20"/>
                <w:szCs w:val="20"/>
              </w:rPr>
            </w:pPr>
          </w:p>
        </w:tc>
        <w:tc>
          <w:tcPr>
            <w:tcW w:w="645" w:type="pct"/>
            <w:tcBorders>
              <w:top w:val="nil"/>
              <w:left w:val="nil"/>
              <w:bottom w:val="nil"/>
              <w:right w:val="nil"/>
            </w:tcBorders>
            <w:shd w:val="clear" w:color="auto" w:fill="auto"/>
            <w:vAlign w:val="center"/>
            <w:hideMark/>
          </w:tcPr>
          <w:p w14:paraId="35301C02" w14:textId="77777777" w:rsidR="003A7F68" w:rsidRPr="003A7F68" w:rsidRDefault="003A7F68" w:rsidP="003A7F68">
            <w:pPr>
              <w:widowControl/>
              <w:autoSpaceDE/>
              <w:autoSpaceDN/>
              <w:adjustRightInd/>
              <w:jc w:val="center"/>
              <w:rPr>
                <w:rFonts w:ascii="Times New Roman" w:hAnsi="Times New Roman"/>
                <w:sz w:val="20"/>
                <w:szCs w:val="20"/>
              </w:rPr>
            </w:pPr>
          </w:p>
        </w:tc>
        <w:tc>
          <w:tcPr>
            <w:tcW w:w="645" w:type="pct"/>
            <w:tcBorders>
              <w:top w:val="nil"/>
              <w:left w:val="nil"/>
              <w:bottom w:val="nil"/>
              <w:right w:val="nil"/>
            </w:tcBorders>
            <w:shd w:val="clear" w:color="auto" w:fill="auto"/>
            <w:vAlign w:val="center"/>
            <w:hideMark/>
          </w:tcPr>
          <w:p w14:paraId="11AF4E39" w14:textId="77777777" w:rsidR="003A7F68" w:rsidRPr="003A7F68" w:rsidRDefault="003A7F68" w:rsidP="003A7F68">
            <w:pPr>
              <w:widowControl/>
              <w:autoSpaceDE/>
              <w:autoSpaceDN/>
              <w:adjustRightInd/>
              <w:jc w:val="center"/>
              <w:rPr>
                <w:rFonts w:ascii="Times New Roman" w:hAnsi="Times New Roman"/>
                <w:sz w:val="20"/>
                <w:szCs w:val="20"/>
              </w:rPr>
            </w:pPr>
          </w:p>
        </w:tc>
        <w:tc>
          <w:tcPr>
            <w:tcW w:w="550" w:type="pct"/>
            <w:tcBorders>
              <w:top w:val="nil"/>
              <w:left w:val="nil"/>
              <w:bottom w:val="nil"/>
              <w:right w:val="nil"/>
            </w:tcBorders>
            <w:shd w:val="clear" w:color="auto" w:fill="auto"/>
            <w:vAlign w:val="bottom"/>
            <w:hideMark/>
          </w:tcPr>
          <w:p w14:paraId="0D589DDA" w14:textId="77777777" w:rsidR="003A7F68" w:rsidRPr="003A7F68" w:rsidRDefault="003A7F68" w:rsidP="003A7F68">
            <w:pPr>
              <w:widowControl/>
              <w:autoSpaceDE/>
              <w:autoSpaceDN/>
              <w:adjustRightInd/>
              <w:jc w:val="center"/>
              <w:rPr>
                <w:rFonts w:ascii="Times New Roman" w:hAnsi="Times New Roman"/>
                <w:sz w:val="20"/>
                <w:szCs w:val="20"/>
              </w:rPr>
            </w:pPr>
          </w:p>
        </w:tc>
      </w:tr>
      <w:tr w:rsidR="003A7F68" w:rsidRPr="003A7F68" w14:paraId="67A95F72" w14:textId="77777777" w:rsidTr="003A7F68">
        <w:trPr>
          <w:trHeight w:val="405"/>
        </w:trPr>
        <w:tc>
          <w:tcPr>
            <w:tcW w:w="4887" w:type="pct"/>
            <w:gridSpan w:val="5"/>
            <w:tcBorders>
              <w:top w:val="nil"/>
              <w:left w:val="nil"/>
              <w:bottom w:val="nil"/>
              <w:right w:val="nil"/>
            </w:tcBorders>
            <w:shd w:val="clear" w:color="auto" w:fill="auto"/>
            <w:vAlign w:val="center"/>
            <w:hideMark/>
          </w:tcPr>
          <w:p w14:paraId="4CDE42AD" w14:textId="77777777" w:rsidR="003A7F68" w:rsidRPr="003A7F68" w:rsidRDefault="003A7F68" w:rsidP="003A7F68">
            <w:pPr>
              <w:widowControl/>
              <w:autoSpaceDE/>
              <w:autoSpaceDN/>
              <w:adjustRightInd/>
              <w:jc w:val="center"/>
              <w:rPr>
                <w:rFonts w:cs="Arial"/>
                <w:b/>
                <w:bCs/>
                <w:color w:val="000000"/>
                <w:sz w:val="18"/>
                <w:szCs w:val="18"/>
              </w:rPr>
            </w:pPr>
            <w:r w:rsidRPr="003A7F68">
              <w:rPr>
                <w:rFonts w:cs="Arial"/>
                <w:b/>
                <w:bCs/>
                <w:color w:val="000000"/>
                <w:sz w:val="18"/>
                <w:szCs w:val="18"/>
              </w:rPr>
              <w:t>2.1. IZVJEŠTAJ PO PROGRAMSKOJ KLASIFIKACIJI</w:t>
            </w:r>
          </w:p>
        </w:tc>
        <w:tc>
          <w:tcPr>
            <w:tcW w:w="113" w:type="pct"/>
            <w:tcBorders>
              <w:top w:val="nil"/>
              <w:left w:val="nil"/>
              <w:bottom w:val="nil"/>
              <w:right w:val="nil"/>
            </w:tcBorders>
            <w:shd w:val="clear" w:color="auto" w:fill="auto"/>
            <w:vAlign w:val="bottom"/>
            <w:hideMark/>
          </w:tcPr>
          <w:p w14:paraId="05B0B8AC" w14:textId="77777777" w:rsidR="003A7F68" w:rsidRPr="003A7F68" w:rsidRDefault="003A7F68" w:rsidP="003A7F68">
            <w:pPr>
              <w:widowControl/>
              <w:autoSpaceDE/>
              <w:autoSpaceDN/>
              <w:adjustRightInd/>
              <w:jc w:val="center"/>
              <w:rPr>
                <w:rFonts w:cs="Arial"/>
                <w:b/>
                <w:bCs/>
                <w:color w:val="000000"/>
                <w:sz w:val="18"/>
                <w:szCs w:val="18"/>
              </w:rPr>
            </w:pPr>
          </w:p>
        </w:tc>
      </w:tr>
      <w:tr w:rsidR="003A7F68" w:rsidRPr="003A7F68" w14:paraId="432466BF" w14:textId="77777777" w:rsidTr="003A7F68">
        <w:trPr>
          <w:gridAfter w:val="1"/>
          <w:wAfter w:w="113" w:type="pct"/>
          <w:trHeight w:val="480"/>
        </w:trPr>
        <w:tc>
          <w:tcPr>
            <w:tcW w:w="2372"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67BF84C2"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RASHODI</w:t>
            </w:r>
          </w:p>
        </w:tc>
        <w:tc>
          <w:tcPr>
            <w:tcW w:w="676" w:type="pct"/>
            <w:tcBorders>
              <w:top w:val="single" w:sz="4" w:space="0" w:color="auto"/>
              <w:left w:val="nil"/>
              <w:bottom w:val="single" w:sz="4" w:space="0" w:color="auto"/>
              <w:right w:val="single" w:sz="4" w:space="0" w:color="auto"/>
            </w:tcBorders>
            <w:shd w:val="clear" w:color="000000" w:fill="92CDDC"/>
            <w:vAlign w:val="center"/>
            <w:hideMark/>
          </w:tcPr>
          <w:p w14:paraId="3954F958"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IZVORNI PLAN ILI REBALANS ZA 2023.</w:t>
            </w:r>
          </w:p>
        </w:tc>
        <w:tc>
          <w:tcPr>
            <w:tcW w:w="645" w:type="pct"/>
            <w:tcBorders>
              <w:top w:val="single" w:sz="4" w:space="0" w:color="auto"/>
              <w:left w:val="nil"/>
              <w:bottom w:val="single" w:sz="4" w:space="0" w:color="auto"/>
              <w:right w:val="single" w:sz="4" w:space="0" w:color="auto"/>
            </w:tcBorders>
            <w:shd w:val="clear" w:color="000000" w:fill="92CDDC"/>
            <w:vAlign w:val="center"/>
            <w:hideMark/>
          </w:tcPr>
          <w:p w14:paraId="0BEE69E8"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TEKUĆI PLAN ZA 2023.</w:t>
            </w:r>
          </w:p>
        </w:tc>
        <w:tc>
          <w:tcPr>
            <w:tcW w:w="645" w:type="pct"/>
            <w:tcBorders>
              <w:top w:val="single" w:sz="4" w:space="0" w:color="auto"/>
              <w:left w:val="nil"/>
              <w:bottom w:val="single" w:sz="4" w:space="0" w:color="auto"/>
              <w:right w:val="single" w:sz="4" w:space="0" w:color="auto"/>
            </w:tcBorders>
            <w:shd w:val="clear" w:color="000000" w:fill="92CDDC"/>
            <w:vAlign w:val="center"/>
            <w:hideMark/>
          </w:tcPr>
          <w:p w14:paraId="5461A0F4"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IZVRŠENJE 01.01. - 31.12.2023.</w:t>
            </w:r>
          </w:p>
        </w:tc>
        <w:tc>
          <w:tcPr>
            <w:tcW w:w="550" w:type="pct"/>
            <w:tcBorders>
              <w:top w:val="single" w:sz="4" w:space="0" w:color="auto"/>
              <w:left w:val="nil"/>
              <w:bottom w:val="single" w:sz="4" w:space="0" w:color="auto"/>
              <w:right w:val="single" w:sz="4" w:space="0" w:color="auto"/>
            </w:tcBorders>
            <w:shd w:val="clear" w:color="000000" w:fill="92CDDC"/>
            <w:vAlign w:val="center"/>
            <w:hideMark/>
          </w:tcPr>
          <w:p w14:paraId="406888E8"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Indeks</w:t>
            </w:r>
          </w:p>
        </w:tc>
      </w:tr>
      <w:tr w:rsidR="003A7F68" w:rsidRPr="003A7F68" w14:paraId="74E434BF" w14:textId="77777777" w:rsidTr="003A7F68">
        <w:trPr>
          <w:gridAfter w:val="1"/>
          <w:wAfter w:w="113" w:type="pct"/>
          <w:trHeight w:val="240"/>
        </w:trPr>
        <w:tc>
          <w:tcPr>
            <w:tcW w:w="2372" w:type="pct"/>
            <w:tcBorders>
              <w:top w:val="nil"/>
              <w:left w:val="single" w:sz="4" w:space="0" w:color="auto"/>
              <w:bottom w:val="single" w:sz="4" w:space="0" w:color="auto"/>
              <w:right w:val="single" w:sz="4" w:space="0" w:color="auto"/>
            </w:tcBorders>
            <w:shd w:val="clear" w:color="000000" w:fill="92CDDC"/>
            <w:noWrap/>
            <w:vAlign w:val="center"/>
            <w:hideMark/>
          </w:tcPr>
          <w:p w14:paraId="668673BE"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POSEBNI DIO: Izvori financiranja rashoda</w:t>
            </w:r>
          </w:p>
        </w:tc>
        <w:tc>
          <w:tcPr>
            <w:tcW w:w="676" w:type="pct"/>
            <w:tcBorders>
              <w:top w:val="nil"/>
              <w:left w:val="nil"/>
              <w:bottom w:val="single" w:sz="4" w:space="0" w:color="auto"/>
              <w:right w:val="single" w:sz="4" w:space="0" w:color="auto"/>
            </w:tcBorders>
            <w:shd w:val="clear" w:color="000000" w:fill="92CDDC"/>
            <w:noWrap/>
            <w:vAlign w:val="center"/>
            <w:hideMark/>
          </w:tcPr>
          <w:p w14:paraId="4F132F5E"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1</w:t>
            </w:r>
          </w:p>
        </w:tc>
        <w:tc>
          <w:tcPr>
            <w:tcW w:w="645" w:type="pct"/>
            <w:tcBorders>
              <w:top w:val="nil"/>
              <w:left w:val="nil"/>
              <w:bottom w:val="single" w:sz="4" w:space="0" w:color="auto"/>
              <w:right w:val="single" w:sz="4" w:space="0" w:color="auto"/>
            </w:tcBorders>
            <w:shd w:val="clear" w:color="000000" w:fill="92CDDC"/>
            <w:noWrap/>
            <w:vAlign w:val="center"/>
            <w:hideMark/>
          </w:tcPr>
          <w:p w14:paraId="2E0CFFD8"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2</w:t>
            </w:r>
          </w:p>
        </w:tc>
        <w:tc>
          <w:tcPr>
            <w:tcW w:w="645" w:type="pct"/>
            <w:tcBorders>
              <w:top w:val="nil"/>
              <w:left w:val="nil"/>
              <w:bottom w:val="single" w:sz="4" w:space="0" w:color="auto"/>
              <w:right w:val="single" w:sz="4" w:space="0" w:color="auto"/>
            </w:tcBorders>
            <w:shd w:val="clear" w:color="000000" w:fill="92CDDC"/>
            <w:noWrap/>
            <w:vAlign w:val="center"/>
            <w:hideMark/>
          </w:tcPr>
          <w:p w14:paraId="43BFBB04"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3</w:t>
            </w:r>
          </w:p>
        </w:tc>
        <w:tc>
          <w:tcPr>
            <w:tcW w:w="550" w:type="pct"/>
            <w:tcBorders>
              <w:top w:val="nil"/>
              <w:left w:val="nil"/>
              <w:bottom w:val="single" w:sz="4" w:space="0" w:color="auto"/>
              <w:right w:val="single" w:sz="4" w:space="0" w:color="auto"/>
            </w:tcBorders>
            <w:shd w:val="clear" w:color="000000" w:fill="92CDDC"/>
            <w:noWrap/>
            <w:vAlign w:val="center"/>
            <w:hideMark/>
          </w:tcPr>
          <w:p w14:paraId="2D764F1D"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4 (3/2)*100</w:t>
            </w:r>
          </w:p>
        </w:tc>
      </w:tr>
      <w:tr w:rsidR="003A7F68" w:rsidRPr="003A7F68" w14:paraId="7A9638F5" w14:textId="77777777" w:rsidTr="003A7F68">
        <w:trPr>
          <w:gridAfter w:val="1"/>
          <w:wAfter w:w="113" w:type="pct"/>
          <w:trHeight w:val="300"/>
        </w:trPr>
        <w:tc>
          <w:tcPr>
            <w:tcW w:w="2372" w:type="pct"/>
            <w:tcBorders>
              <w:top w:val="single" w:sz="4" w:space="0" w:color="95B3D7"/>
              <w:left w:val="nil"/>
              <w:bottom w:val="single" w:sz="4" w:space="0" w:color="95B3D7"/>
              <w:right w:val="nil"/>
            </w:tcBorders>
            <w:shd w:val="clear" w:color="000000" w:fill="8DB4E2"/>
            <w:noWrap/>
            <w:vAlign w:val="bottom"/>
            <w:hideMark/>
          </w:tcPr>
          <w:p w14:paraId="71C88B27" w14:textId="77777777" w:rsidR="003A7F68" w:rsidRPr="003A7F68" w:rsidRDefault="003A7F68" w:rsidP="003A7F68">
            <w:pPr>
              <w:widowControl/>
              <w:autoSpaceDE/>
              <w:autoSpaceDN/>
              <w:adjustRightInd/>
              <w:jc w:val="left"/>
              <w:rPr>
                <w:rFonts w:ascii="Calibri" w:hAnsi="Calibri"/>
                <w:b/>
                <w:bCs/>
                <w:color w:val="000000"/>
                <w:sz w:val="18"/>
                <w:szCs w:val="18"/>
              </w:rPr>
            </w:pPr>
            <w:r w:rsidRPr="003A7F68">
              <w:rPr>
                <w:rFonts w:ascii="Calibri" w:hAnsi="Calibri"/>
                <w:b/>
                <w:bCs/>
                <w:color w:val="000000"/>
                <w:sz w:val="18"/>
                <w:szCs w:val="18"/>
              </w:rPr>
              <w:t>RAZDJEL 185 DRŽAVNI URED ZA REVIZIJU</w:t>
            </w:r>
          </w:p>
        </w:tc>
        <w:tc>
          <w:tcPr>
            <w:tcW w:w="676"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358F5C7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45" w:type="pct"/>
            <w:tcBorders>
              <w:top w:val="single" w:sz="4" w:space="0" w:color="95B3D7"/>
              <w:left w:val="nil"/>
              <w:bottom w:val="single" w:sz="4" w:space="0" w:color="95B3D7"/>
              <w:right w:val="nil"/>
            </w:tcBorders>
            <w:shd w:val="clear" w:color="000000" w:fill="8DB4E2"/>
            <w:noWrap/>
            <w:vAlign w:val="bottom"/>
            <w:hideMark/>
          </w:tcPr>
          <w:p w14:paraId="57DB207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45"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0C7949E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50" w:type="pct"/>
            <w:tcBorders>
              <w:top w:val="single" w:sz="4" w:space="0" w:color="95B3D7"/>
              <w:left w:val="nil"/>
              <w:bottom w:val="single" w:sz="4" w:space="0" w:color="95B3D7"/>
              <w:right w:val="nil"/>
            </w:tcBorders>
            <w:shd w:val="clear" w:color="000000" w:fill="8DB4E2"/>
            <w:noWrap/>
            <w:vAlign w:val="bottom"/>
            <w:hideMark/>
          </w:tcPr>
          <w:p w14:paraId="2414E02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77B92EF9" w14:textId="77777777" w:rsidTr="003A7F68">
        <w:trPr>
          <w:gridAfter w:val="1"/>
          <w:wAfter w:w="113" w:type="pct"/>
          <w:trHeight w:val="300"/>
        </w:trPr>
        <w:tc>
          <w:tcPr>
            <w:tcW w:w="2372" w:type="pct"/>
            <w:tcBorders>
              <w:top w:val="nil"/>
              <w:left w:val="nil"/>
              <w:bottom w:val="nil"/>
              <w:right w:val="nil"/>
            </w:tcBorders>
            <w:shd w:val="clear" w:color="000000" w:fill="8DB4E2"/>
            <w:noWrap/>
            <w:vAlign w:val="bottom"/>
            <w:hideMark/>
          </w:tcPr>
          <w:p w14:paraId="70140DEE" w14:textId="77777777" w:rsidR="003A7F68" w:rsidRPr="003A7F68" w:rsidRDefault="003A7F68" w:rsidP="003A7F68">
            <w:pPr>
              <w:widowControl/>
              <w:autoSpaceDE/>
              <w:autoSpaceDN/>
              <w:adjustRightInd/>
              <w:ind w:firstLineChars="100" w:firstLine="180"/>
              <w:jc w:val="left"/>
              <w:rPr>
                <w:rFonts w:ascii="Calibri" w:hAnsi="Calibri"/>
                <w:b/>
                <w:bCs/>
                <w:color w:val="000000"/>
                <w:sz w:val="18"/>
                <w:szCs w:val="18"/>
              </w:rPr>
            </w:pPr>
            <w:r w:rsidRPr="003A7F68">
              <w:rPr>
                <w:rFonts w:ascii="Calibri" w:hAnsi="Calibri"/>
                <w:b/>
                <w:bCs/>
                <w:color w:val="000000"/>
                <w:sz w:val="18"/>
                <w:szCs w:val="18"/>
              </w:rPr>
              <w:t>GLAVA 18505</w:t>
            </w:r>
          </w:p>
        </w:tc>
        <w:tc>
          <w:tcPr>
            <w:tcW w:w="676" w:type="pct"/>
            <w:tcBorders>
              <w:top w:val="nil"/>
              <w:left w:val="single" w:sz="4" w:space="0" w:color="95B3D7"/>
              <w:bottom w:val="nil"/>
              <w:right w:val="single" w:sz="4" w:space="0" w:color="95B3D7"/>
            </w:tcBorders>
            <w:shd w:val="clear" w:color="000000" w:fill="8DB4E2"/>
            <w:noWrap/>
            <w:vAlign w:val="bottom"/>
            <w:hideMark/>
          </w:tcPr>
          <w:p w14:paraId="4C67584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45" w:type="pct"/>
            <w:tcBorders>
              <w:top w:val="nil"/>
              <w:left w:val="nil"/>
              <w:bottom w:val="nil"/>
              <w:right w:val="nil"/>
            </w:tcBorders>
            <w:shd w:val="clear" w:color="000000" w:fill="8DB4E2"/>
            <w:noWrap/>
            <w:vAlign w:val="bottom"/>
            <w:hideMark/>
          </w:tcPr>
          <w:p w14:paraId="33B2562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45" w:type="pct"/>
            <w:tcBorders>
              <w:top w:val="nil"/>
              <w:left w:val="single" w:sz="4" w:space="0" w:color="95B3D7"/>
              <w:bottom w:val="nil"/>
              <w:right w:val="single" w:sz="4" w:space="0" w:color="95B3D7"/>
            </w:tcBorders>
            <w:shd w:val="clear" w:color="000000" w:fill="8DB4E2"/>
            <w:noWrap/>
            <w:vAlign w:val="bottom"/>
            <w:hideMark/>
          </w:tcPr>
          <w:p w14:paraId="5BA04FD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50" w:type="pct"/>
            <w:tcBorders>
              <w:top w:val="nil"/>
              <w:left w:val="nil"/>
              <w:bottom w:val="nil"/>
              <w:right w:val="nil"/>
            </w:tcBorders>
            <w:shd w:val="clear" w:color="000000" w:fill="8DB4E2"/>
            <w:noWrap/>
            <w:vAlign w:val="bottom"/>
            <w:hideMark/>
          </w:tcPr>
          <w:p w14:paraId="3023C8F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2233368D" w14:textId="77777777" w:rsidTr="003A7F68">
        <w:trPr>
          <w:gridAfter w:val="1"/>
          <w:wAfter w:w="113" w:type="pct"/>
          <w:trHeight w:val="300"/>
        </w:trPr>
        <w:tc>
          <w:tcPr>
            <w:tcW w:w="2372" w:type="pct"/>
            <w:tcBorders>
              <w:top w:val="single" w:sz="4" w:space="0" w:color="95B3D7"/>
              <w:left w:val="nil"/>
              <w:bottom w:val="single" w:sz="4" w:space="0" w:color="95B3D7"/>
              <w:right w:val="nil"/>
            </w:tcBorders>
            <w:shd w:val="clear" w:color="000000" w:fill="8DB4E2"/>
            <w:noWrap/>
            <w:vAlign w:val="bottom"/>
            <w:hideMark/>
          </w:tcPr>
          <w:p w14:paraId="164C0F47" w14:textId="77777777" w:rsidR="003A7F68" w:rsidRPr="003A7F68" w:rsidRDefault="003A7F68" w:rsidP="003A7F68">
            <w:pPr>
              <w:widowControl/>
              <w:autoSpaceDE/>
              <w:autoSpaceDN/>
              <w:adjustRightInd/>
              <w:ind w:firstLineChars="200" w:firstLine="360"/>
              <w:jc w:val="left"/>
              <w:rPr>
                <w:rFonts w:ascii="Calibri" w:hAnsi="Calibri"/>
                <w:color w:val="000000"/>
                <w:sz w:val="18"/>
                <w:szCs w:val="18"/>
              </w:rPr>
            </w:pPr>
            <w:r w:rsidRPr="003A7F68">
              <w:rPr>
                <w:rFonts w:ascii="Calibri" w:hAnsi="Calibri"/>
                <w:color w:val="000000"/>
                <w:sz w:val="18"/>
                <w:szCs w:val="18"/>
              </w:rPr>
              <w:t>22 FINANCIJSKI I FISKALNI SUSTAV</w:t>
            </w:r>
          </w:p>
        </w:tc>
        <w:tc>
          <w:tcPr>
            <w:tcW w:w="676"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7EF2E45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14.406.098,00</w:t>
            </w:r>
          </w:p>
        </w:tc>
        <w:tc>
          <w:tcPr>
            <w:tcW w:w="645" w:type="pct"/>
            <w:tcBorders>
              <w:top w:val="single" w:sz="4" w:space="0" w:color="95B3D7"/>
              <w:left w:val="nil"/>
              <w:bottom w:val="single" w:sz="4" w:space="0" w:color="95B3D7"/>
              <w:right w:val="nil"/>
            </w:tcBorders>
            <w:shd w:val="clear" w:color="000000" w:fill="8DB4E2"/>
            <w:noWrap/>
            <w:vAlign w:val="bottom"/>
            <w:hideMark/>
          </w:tcPr>
          <w:p w14:paraId="472EDDB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11.244.276,00</w:t>
            </w:r>
          </w:p>
        </w:tc>
        <w:tc>
          <w:tcPr>
            <w:tcW w:w="645"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6BFD402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11.062.318,02</w:t>
            </w:r>
          </w:p>
        </w:tc>
        <w:tc>
          <w:tcPr>
            <w:tcW w:w="550" w:type="pct"/>
            <w:tcBorders>
              <w:top w:val="single" w:sz="4" w:space="0" w:color="95B3D7"/>
              <w:left w:val="nil"/>
              <w:bottom w:val="single" w:sz="4" w:space="0" w:color="95B3D7"/>
              <w:right w:val="nil"/>
            </w:tcBorders>
            <w:shd w:val="clear" w:color="000000" w:fill="8DB4E2"/>
            <w:noWrap/>
            <w:vAlign w:val="bottom"/>
            <w:hideMark/>
          </w:tcPr>
          <w:p w14:paraId="6D92DD4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98,38</w:t>
            </w:r>
          </w:p>
        </w:tc>
      </w:tr>
      <w:tr w:rsidR="003A7F68" w:rsidRPr="003A7F68" w14:paraId="65615DDF" w14:textId="77777777" w:rsidTr="003A7F68">
        <w:trPr>
          <w:gridAfter w:val="1"/>
          <w:wAfter w:w="113" w:type="pct"/>
          <w:trHeight w:val="300"/>
        </w:trPr>
        <w:tc>
          <w:tcPr>
            <w:tcW w:w="2372" w:type="pct"/>
            <w:tcBorders>
              <w:top w:val="nil"/>
              <w:left w:val="nil"/>
              <w:bottom w:val="nil"/>
              <w:right w:val="nil"/>
            </w:tcBorders>
            <w:shd w:val="clear" w:color="000000" w:fill="8DB4E2"/>
            <w:noWrap/>
            <w:vAlign w:val="bottom"/>
            <w:hideMark/>
          </w:tcPr>
          <w:p w14:paraId="21C07121" w14:textId="77777777" w:rsidR="003A7F68" w:rsidRPr="003A7F68" w:rsidRDefault="003A7F68" w:rsidP="003A7F68">
            <w:pPr>
              <w:widowControl/>
              <w:autoSpaceDE/>
              <w:autoSpaceDN/>
              <w:adjustRightInd/>
              <w:ind w:firstLineChars="300" w:firstLine="540"/>
              <w:jc w:val="left"/>
              <w:rPr>
                <w:rFonts w:ascii="Calibri" w:hAnsi="Calibri"/>
                <w:b/>
                <w:bCs/>
                <w:color w:val="000000"/>
                <w:sz w:val="18"/>
                <w:szCs w:val="18"/>
              </w:rPr>
            </w:pPr>
            <w:r w:rsidRPr="003A7F68">
              <w:rPr>
                <w:rFonts w:ascii="Calibri" w:hAnsi="Calibri"/>
                <w:b/>
                <w:bCs/>
                <w:color w:val="000000"/>
                <w:sz w:val="18"/>
                <w:szCs w:val="18"/>
              </w:rPr>
              <w:t>2208 DJELOVANJE DRŽAVNOG UREDA ZA REVIZIJU</w:t>
            </w:r>
          </w:p>
        </w:tc>
        <w:tc>
          <w:tcPr>
            <w:tcW w:w="676" w:type="pct"/>
            <w:tcBorders>
              <w:top w:val="nil"/>
              <w:left w:val="single" w:sz="4" w:space="0" w:color="95B3D7"/>
              <w:bottom w:val="nil"/>
              <w:right w:val="single" w:sz="4" w:space="0" w:color="95B3D7"/>
            </w:tcBorders>
            <w:shd w:val="clear" w:color="000000" w:fill="8DB4E2"/>
            <w:noWrap/>
            <w:vAlign w:val="bottom"/>
            <w:hideMark/>
          </w:tcPr>
          <w:p w14:paraId="6EC0B16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45" w:type="pct"/>
            <w:tcBorders>
              <w:top w:val="nil"/>
              <w:left w:val="nil"/>
              <w:bottom w:val="nil"/>
              <w:right w:val="nil"/>
            </w:tcBorders>
            <w:shd w:val="clear" w:color="000000" w:fill="8DB4E2"/>
            <w:noWrap/>
            <w:vAlign w:val="bottom"/>
            <w:hideMark/>
          </w:tcPr>
          <w:p w14:paraId="716312B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45" w:type="pct"/>
            <w:tcBorders>
              <w:top w:val="nil"/>
              <w:left w:val="single" w:sz="4" w:space="0" w:color="95B3D7"/>
              <w:bottom w:val="nil"/>
              <w:right w:val="single" w:sz="4" w:space="0" w:color="95B3D7"/>
            </w:tcBorders>
            <w:shd w:val="clear" w:color="000000" w:fill="8DB4E2"/>
            <w:noWrap/>
            <w:vAlign w:val="bottom"/>
            <w:hideMark/>
          </w:tcPr>
          <w:p w14:paraId="00D1BCD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50" w:type="pct"/>
            <w:tcBorders>
              <w:top w:val="nil"/>
              <w:left w:val="nil"/>
              <w:bottom w:val="nil"/>
              <w:right w:val="nil"/>
            </w:tcBorders>
            <w:shd w:val="clear" w:color="000000" w:fill="8DB4E2"/>
            <w:noWrap/>
            <w:vAlign w:val="bottom"/>
            <w:hideMark/>
          </w:tcPr>
          <w:p w14:paraId="09464D2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7D45891E" w14:textId="77777777" w:rsidTr="003A7F68">
        <w:trPr>
          <w:gridAfter w:val="1"/>
          <w:wAfter w:w="113" w:type="pct"/>
          <w:trHeight w:val="300"/>
        </w:trPr>
        <w:tc>
          <w:tcPr>
            <w:tcW w:w="2372" w:type="pct"/>
            <w:tcBorders>
              <w:top w:val="single" w:sz="4" w:space="0" w:color="95B3D7"/>
              <w:left w:val="nil"/>
              <w:bottom w:val="single" w:sz="4" w:space="0" w:color="95B3D7"/>
              <w:right w:val="nil"/>
            </w:tcBorders>
            <w:shd w:val="clear" w:color="000000" w:fill="CCC0DA"/>
            <w:vAlign w:val="bottom"/>
            <w:hideMark/>
          </w:tcPr>
          <w:p w14:paraId="635B3017"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11 OPĆI PRIHODI I PRIMICI</w:t>
            </w:r>
          </w:p>
        </w:tc>
        <w:tc>
          <w:tcPr>
            <w:tcW w:w="676" w:type="pct"/>
            <w:tcBorders>
              <w:top w:val="single" w:sz="4" w:space="0" w:color="95B3D7"/>
              <w:left w:val="single" w:sz="4" w:space="0" w:color="95B3D7"/>
              <w:bottom w:val="single" w:sz="4" w:space="0" w:color="95B3D7"/>
              <w:right w:val="single" w:sz="4" w:space="0" w:color="95B3D7"/>
            </w:tcBorders>
            <w:shd w:val="clear" w:color="000000" w:fill="CCC0DA"/>
            <w:vAlign w:val="bottom"/>
            <w:hideMark/>
          </w:tcPr>
          <w:p w14:paraId="3C50DAC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13.288.679,00</w:t>
            </w:r>
          </w:p>
        </w:tc>
        <w:tc>
          <w:tcPr>
            <w:tcW w:w="645" w:type="pct"/>
            <w:tcBorders>
              <w:top w:val="single" w:sz="4" w:space="0" w:color="95B3D7"/>
              <w:left w:val="nil"/>
              <w:bottom w:val="single" w:sz="4" w:space="0" w:color="95B3D7"/>
              <w:right w:val="nil"/>
            </w:tcBorders>
            <w:shd w:val="clear" w:color="000000" w:fill="CCC0DA"/>
            <w:vAlign w:val="bottom"/>
            <w:hideMark/>
          </w:tcPr>
          <w:p w14:paraId="04E5671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10.687.266,00</w:t>
            </w:r>
          </w:p>
        </w:tc>
        <w:tc>
          <w:tcPr>
            <w:tcW w:w="645" w:type="pct"/>
            <w:tcBorders>
              <w:top w:val="single" w:sz="4" w:space="0" w:color="95B3D7"/>
              <w:left w:val="single" w:sz="4" w:space="0" w:color="95B3D7"/>
              <w:bottom w:val="single" w:sz="4" w:space="0" w:color="95B3D7"/>
              <w:right w:val="single" w:sz="4" w:space="0" w:color="95B3D7"/>
            </w:tcBorders>
            <w:shd w:val="clear" w:color="000000" w:fill="CCC0DA"/>
            <w:vAlign w:val="bottom"/>
            <w:hideMark/>
          </w:tcPr>
          <w:p w14:paraId="6FAFFD8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10.570.142,95</w:t>
            </w:r>
          </w:p>
        </w:tc>
        <w:tc>
          <w:tcPr>
            <w:tcW w:w="550" w:type="pct"/>
            <w:tcBorders>
              <w:top w:val="single" w:sz="4" w:space="0" w:color="95B3D7"/>
              <w:left w:val="nil"/>
              <w:bottom w:val="single" w:sz="4" w:space="0" w:color="95B3D7"/>
              <w:right w:val="nil"/>
            </w:tcBorders>
            <w:shd w:val="clear" w:color="000000" w:fill="CCC0DA"/>
            <w:vAlign w:val="bottom"/>
            <w:hideMark/>
          </w:tcPr>
          <w:p w14:paraId="4D9DCB4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98,90</w:t>
            </w:r>
          </w:p>
        </w:tc>
      </w:tr>
      <w:tr w:rsidR="003A7F68" w:rsidRPr="003A7F68" w14:paraId="4CFEC19A" w14:textId="77777777" w:rsidTr="003A7F68">
        <w:trPr>
          <w:gridAfter w:val="1"/>
          <w:wAfter w:w="113" w:type="pct"/>
          <w:trHeight w:val="300"/>
        </w:trPr>
        <w:tc>
          <w:tcPr>
            <w:tcW w:w="2372" w:type="pct"/>
            <w:tcBorders>
              <w:top w:val="nil"/>
              <w:left w:val="nil"/>
              <w:bottom w:val="nil"/>
              <w:right w:val="nil"/>
            </w:tcBorders>
            <w:shd w:val="clear" w:color="000000" w:fill="CCC0DA"/>
            <w:vAlign w:val="bottom"/>
            <w:hideMark/>
          </w:tcPr>
          <w:p w14:paraId="6FAA4825"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31 VLASTITI PRIHODI</w:t>
            </w:r>
          </w:p>
        </w:tc>
        <w:tc>
          <w:tcPr>
            <w:tcW w:w="676" w:type="pct"/>
            <w:tcBorders>
              <w:top w:val="nil"/>
              <w:left w:val="single" w:sz="4" w:space="0" w:color="95B3D7"/>
              <w:bottom w:val="nil"/>
              <w:right w:val="single" w:sz="4" w:space="0" w:color="95B3D7"/>
            </w:tcBorders>
            <w:shd w:val="clear" w:color="000000" w:fill="CCC0DA"/>
            <w:vAlign w:val="bottom"/>
            <w:hideMark/>
          </w:tcPr>
          <w:p w14:paraId="729EA43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199.212,00</w:t>
            </w:r>
          </w:p>
        </w:tc>
        <w:tc>
          <w:tcPr>
            <w:tcW w:w="645" w:type="pct"/>
            <w:tcBorders>
              <w:top w:val="nil"/>
              <w:left w:val="nil"/>
              <w:bottom w:val="nil"/>
              <w:right w:val="nil"/>
            </w:tcBorders>
            <w:shd w:val="clear" w:color="000000" w:fill="CCC0DA"/>
            <w:vAlign w:val="bottom"/>
            <w:hideMark/>
          </w:tcPr>
          <w:p w14:paraId="4B0E6D5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199.212,00</w:t>
            </w:r>
          </w:p>
        </w:tc>
        <w:tc>
          <w:tcPr>
            <w:tcW w:w="645" w:type="pct"/>
            <w:tcBorders>
              <w:top w:val="nil"/>
              <w:left w:val="single" w:sz="4" w:space="0" w:color="95B3D7"/>
              <w:bottom w:val="nil"/>
              <w:right w:val="single" w:sz="4" w:space="0" w:color="95B3D7"/>
            </w:tcBorders>
            <w:shd w:val="clear" w:color="000000" w:fill="CCC0DA"/>
            <w:vAlign w:val="bottom"/>
            <w:hideMark/>
          </w:tcPr>
          <w:p w14:paraId="038514E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134.458,08</w:t>
            </w:r>
          </w:p>
        </w:tc>
        <w:tc>
          <w:tcPr>
            <w:tcW w:w="550" w:type="pct"/>
            <w:tcBorders>
              <w:top w:val="nil"/>
              <w:left w:val="nil"/>
              <w:bottom w:val="nil"/>
              <w:right w:val="nil"/>
            </w:tcBorders>
            <w:shd w:val="clear" w:color="000000" w:fill="CCC0DA"/>
            <w:vAlign w:val="bottom"/>
            <w:hideMark/>
          </w:tcPr>
          <w:p w14:paraId="237F65D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67,49</w:t>
            </w:r>
          </w:p>
        </w:tc>
      </w:tr>
      <w:tr w:rsidR="003A7F68" w:rsidRPr="003A7F68" w14:paraId="46010D1B" w14:textId="77777777" w:rsidTr="003A7F68">
        <w:trPr>
          <w:gridAfter w:val="1"/>
          <w:wAfter w:w="113" w:type="pct"/>
          <w:trHeight w:val="300"/>
        </w:trPr>
        <w:tc>
          <w:tcPr>
            <w:tcW w:w="2372" w:type="pct"/>
            <w:tcBorders>
              <w:top w:val="single" w:sz="4" w:space="0" w:color="95B3D7"/>
              <w:left w:val="nil"/>
              <w:bottom w:val="single" w:sz="4" w:space="0" w:color="95B3D7"/>
              <w:right w:val="nil"/>
            </w:tcBorders>
            <w:shd w:val="clear" w:color="000000" w:fill="CCC0DA"/>
            <w:vAlign w:val="bottom"/>
            <w:hideMark/>
          </w:tcPr>
          <w:p w14:paraId="7599C773" w14:textId="77777777" w:rsid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 xml:space="preserve">IZVOR 5761 FOND SOLIDARNOSTI EU - potres </w:t>
            </w:r>
          </w:p>
          <w:p w14:paraId="64561DD0" w14:textId="54AFC15C"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ožujak 2020.</w:t>
            </w:r>
          </w:p>
        </w:tc>
        <w:tc>
          <w:tcPr>
            <w:tcW w:w="676" w:type="pct"/>
            <w:tcBorders>
              <w:top w:val="single" w:sz="4" w:space="0" w:color="95B3D7"/>
              <w:left w:val="single" w:sz="4" w:space="0" w:color="95B3D7"/>
              <w:bottom w:val="single" w:sz="4" w:space="0" w:color="95B3D7"/>
              <w:right w:val="single" w:sz="4" w:space="0" w:color="95B3D7"/>
            </w:tcBorders>
            <w:shd w:val="clear" w:color="000000" w:fill="CCC0DA"/>
            <w:vAlign w:val="bottom"/>
            <w:hideMark/>
          </w:tcPr>
          <w:p w14:paraId="56C2B1D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918.207,00</w:t>
            </w:r>
          </w:p>
        </w:tc>
        <w:tc>
          <w:tcPr>
            <w:tcW w:w="645" w:type="pct"/>
            <w:tcBorders>
              <w:top w:val="single" w:sz="4" w:space="0" w:color="95B3D7"/>
              <w:left w:val="nil"/>
              <w:bottom w:val="single" w:sz="4" w:space="0" w:color="95B3D7"/>
              <w:right w:val="nil"/>
            </w:tcBorders>
            <w:shd w:val="clear" w:color="000000" w:fill="CCC0DA"/>
            <w:vAlign w:val="bottom"/>
            <w:hideMark/>
          </w:tcPr>
          <w:p w14:paraId="062D79E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357.798,00</w:t>
            </w:r>
          </w:p>
        </w:tc>
        <w:tc>
          <w:tcPr>
            <w:tcW w:w="645" w:type="pct"/>
            <w:tcBorders>
              <w:top w:val="single" w:sz="4" w:space="0" w:color="95B3D7"/>
              <w:left w:val="single" w:sz="4" w:space="0" w:color="95B3D7"/>
              <w:bottom w:val="single" w:sz="4" w:space="0" w:color="95B3D7"/>
              <w:right w:val="single" w:sz="4" w:space="0" w:color="95B3D7"/>
            </w:tcBorders>
            <w:shd w:val="clear" w:color="000000" w:fill="CCC0DA"/>
            <w:vAlign w:val="bottom"/>
            <w:hideMark/>
          </w:tcPr>
          <w:p w14:paraId="19AB0D0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357.716,99</w:t>
            </w:r>
          </w:p>
        </w:tc>
        <w:tc>
          <w:tcPr>
            <w:tcW w:w="550" w:type="pct"/>
            <w:tcBorders>
              <w:top w:val="single" w:sz="4" w:space="0" w:color="95B3D7"/>
              <w:left w:val="nil"/>
              <w:bottom w:val="single" w:sz="4" w:space="0" w:color="95B3D7"/>
              <w:right w:val="nil"/>
            </w:tcBorders>
            <w:shd w:val="clear" w:color="000000" w:fill="CCC0DA"/>
            <w:vAlign w:val="bottom"/>
            <w:hideMark/>
          </w:tcPr>
          <w:p w14:paraId="521FAB8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99,98</w:t>
            </w:r>
          </w:p>
        </w:tc>
      </w:tr>
      <w:tr w:rsidR="003A7F68" w:rsidRPr="003A7F68" w14:paraId="73FEBC8B" w14:textId="77777777" w:rsidTr="003A7F68">
        <w:trPr>
          <w:gridAfter w:val="1"/>
          <w:wAfter w:w="113" w:type="pct"/>
          <w:trHeight w:val="300"/>
        </w:trPr>
        <w:tc>
          <w:tcPr>
            <w:tcW w:w="2372" w:type="pct"/>
            <w:tcBorders>
              <w:top w:val="single" w:sz="4" w:space="0" w:color="366092"/>
              <w:left w:val="nil"/>
              <w:bottom w:val="single" w:sz="8" w:space="0" w:color="366092"/>
              <w:right w:val="nil"/>
            </w:tcBorders>
            <w:shd w:val="clear" w:color="000000" w:fill="92CDDC"/>
            <w:vAlign w:val="bottom"/>
            <w:hideMark/>
          </w:tcPr>
          <w:p w14:paraId="3160A95D" w14:textId="77777777" w:rsidR="003A7F68" w:rsidRPr="003A7F68" w:rsidRDefault="003A7F68" w:rsidP="003A7F68">
            <w:pPr>
              <w:widowControl/>
              <w:autoSpaceDE/>
              <w:autoSpaceDN/>
              <w:adjustRightInd/>
              <w:jc w:val="left"/>
              <w:rPr>
                <w:rFonts w:ascii="Calibri" w:hAnsi="Calibri"/>
                <w:b/>
                <w:bCs/>
                <w:color w:val="000000"/>
                <w:sz w:val="18"/>
                <w:szCs w:val="18"/>
              </w:rPr>
            </w:pPr>
            <w:r w:rsidRPr="003A7F68">
              <w:rPr>
                <w:rFonts w:ascii="Calibri" w:hAnsi="Calibri"/>
                <w:b/>
                <w:bCs/>
                <w:color w:val="000000"/>
                <w:sz w:val="18"/>
                <w:szCs w:val="18"/>
              </w:rPr>
              <w:t>Ukupni zbroj</w:t>
            </w:r>
          </w:p>
        </w:tc>
        <w:tc>
          <w:tcPr>
            <w:tcW w:w="676" w:type="pct"/>
            <w:tcBorders>
              <w:top w:val="single" w:sz="4" w:space="0" w:color="366092"/>
              <w:left w:val="single" w:sz="4" w:space="0" w:color="95B3D7"/>
              <w:bottom w:val="single" w:sz="8" w:space="0" w:color="366092"/>
              <w:right w:val="single" w:sz="4" w:space="0" w:color="95B3D7"/>
            </w:tcBorders>
            <w:shd w:val="clear" w:color="000000" w:fill="92CDDC"/>
            <w:noWrap/>
            <w:vAlign w:val="bottom"/>
            <w:hideMark/>
          </w:tcPr>
          <w:p w14:paraId="644E257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45" w:type="pct"/>
            <w:tcBorders>
              <w:top w:val="single" w:sz="4" w:space="0" w:color="366092"/>
              <w:left w:val="nil"/>
              <w:bottom w:val="single" w:sz="8" w:space="0" w:color="366092"/>
              <w:right w:val="nil"/>
            </w:tcBorders>
            <w:shd w:val="clear" w:color="000000" w:fill="92CDDC"/>
            <w:noWrap/>
            <w:vAlign w:val="bottom"/>
            <w:hideMark/>
          </w:tcPr>
          <w:p w14:paraId="2500D19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45" w:type="pct"/>
            <w:tcBorders>
              <w:top w:val="single" w:sz="4" w:space="0" w:color="366092"/>
              <w:left w:val="single" w:sz="4" w:space="0" w:color="95B3D7"/>
              <w:bottom w:val="single" w:sz="8" w:space="0" w:color="366092"/>
              <w:right w:val="single" w:sz="4" w:space="0" w:color="95B3D7"/>
            </w:tcBorders>
            <w:shd w:val="clear" w:color="000000" w:fill="92CDDC"/>
            <w:noWrap/>
            <w:vAlign w:val="bottom"/>
            <w:hideMark/>
          </w:tcPr>
          <w:p w14:paraId="2B74D1D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50" w:type="pct"/>
            <w:tcBorders>
              <w:top w:val="single" w:sz="4" w:space="0" w:color="366092"/>
              <w:left w:val="nil"/>
              <w:bottom w:val="single" w:sz="8" w:space="0" w:color="366092"/>
              <w:right w:val="nil"/>
            </w:tcBorders>
            <w:shd w:val="clear" w:color="000000" w:fill="92CDDC"/>
            <w:noWrap/>
            <w:vAlign w:val="bottom"/>
            <w:hideMark/>
          </w:tcPr>
          <w:p w14:paraId="3BA2EBF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bl>
    <w:p w14:paraId="6442BF96" w14:textId="0ACFA655" w:rsidR="009A13C3" w:rsidRDefault="009A13C3" w:rsidP="0084232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rPr>
      </w:pPr>
    </w:p>
    <w:tbl>
      <w:tblPr>
        <w:tblW w:w="5000" w:type="pct"/>
        <w:tblLook w:val="04A0" w:firstRow="1" w:lastRow="0" w:firstColumn="1" w:lastColumn="0" w:noHBand="0" w:noVBand="1"/>
      </w:tblPr>
      <w:tblGrid>
        <w:gridCol w:w="4718"/>
        <w:gridCol w:w="1271"/>
        <w:gridCol w:w="1284"/>
        <w:gridCol w:w="1271"/>
        <w:gridCol w:w="1084"/>
      </w:tblGrid>
      <w:tr w:rsidR="003A7F68" w:rsidRPr="003A7F68" w14:paraId="35DAF1B7" w14:textId="77777777" w:rsidTr="003A7F68">
        <w:trPr>
          <w:trHeight w:val="480"/>
        </w:trPr>
        <w:tc>
          <w:tcPr>
            <w:tcW w:w="2450" w:type="pc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0B47B1FC"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RASHODI</w:t>
            </w:r>
          </w:p>
        </w:tc>
        <w:tc>
          <w:tcPr>
            <w:tcW w:w="660" w:type="pct"/>
            <w:tcBorders>
              <w:top w:val="single" w:sz="4" w:space="0" w:color="auto"/>
              <w:left w:val="nil"/>
              <w:bottom w:val="single" w:sz="4" w:space="0" w:color="auto"/>
              <w:right w:val="single" w:sz="4" w:space="0" w:color="auto"/>
            </w:tcBorders>
            <w:shd w:val="clear" w:color="000000" w:fill="92CDDC"/>
            <w:vAlign w:val="center"/>
            <w:hideMark/>
          </w:tcPr>
          <w:p w14:paraId="5883B7A9"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IZVORNI PLAN ILI REBALANS ZA 2023.</w:t>
            </w:r>
          </w:p>
        </w:tc>
        <w:tc>
          <w:tcPr>
            <w:tcW w:w="667" w:type="pct"/>
            <w:tcBorders>
              <w:top w:val="single" w:sz="4" w:space="0" w:color="auto"/>
              <w:left w:val="nil"/>
              <w:bottom w:val="single" w:sz="4" w:space="0" w:color="auto"/>
              <w:right w:val="single" w:sz="4" w:space="0" w:color="auto"/>
            </w:tcBorders>
            <w:shd w:val="clear" w:color="000000" w:fill="92CDDC"/>
            <w:vAlign w:val="center"/>
            <w:hideMark/>
          </w:tcPr>
          <w:p w14:paraId="5029A131"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TEKUĆI PLAN ZA 2023.</w:t>
            </w:r>
          </w:p>
        </w:tc>
        <w:tc>
          <w:tcPr>
            <w:tcW w:w="660" w:type="pct"/>
            <w:tcBorders>
              <w:top w:val="single" w:sz="4" w:space="0" w:color="auto"/>
              <w:left w:val="nil"/>
              <w:bottom w:val="single" w:sz="4" w:space="0" w:color="auto"/>
              <w:right w:val="single" w:sz="4" w:space="0" w:color="auto"/>
            </w:tcBorders>
            <w:shd w:val="clear" w:color="000000" w:fill="92CDDC"/>
            <w:vAlign w:val="center"/>
            <w:hideMark/>
          </w:tcPr>
          <w:p w14:paraId="6819A3A0"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IZVRŠENJE 01.01. - 31.12.2023.</w:t>
            </w:r>
          </w:p>
        </w:tc>
        <w:tc>
          <w:tcPr>
            <w:tcW w:w="563" w:type="pct"/>
            <w:tcBorders>
              <w:top w:val="single" w:sz="4" w:space="0" w:color="auto"/>
              <w:left w:val="nil"/>
              <w:bottom w:val="single" w:sz="4" w:space="0" w:color="auto"/>
              <w:right w:val="single" w:sz="4" w:space="0" w:color="auto"/>
            </w:tcBorders>
            <w:shd w:val="clear" w:color="000000" w:fill="92CDDC"/>
            <w:vAlign w:val="center"/>
            <w:hideMark/>
          </w:tcPr>
          <w:p w14:paraId="3AA70E43"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Indeks</w:t>
            </w:r>
          </w:p>
        </w:tc>
      </w:tr>
      <w:tr w:rsidR="003A7F68" w:rsidRPr="003A7F68" w14:paraId="2738055C" w14:textId="77777777" w:rsidTr="003A7F68">
        <w:trPr>
          <w:trHeight w:val="240"/>
        </w:trPr>
        <w:tc>
          <w:tcPr>
            <w:tcW w:w="2450" w:type="pct"/>
            <w:tcBorders>
              <w:top w:val="nil"/>
              <w:left w:val="single" w:sz="4" w:space="0" w:color="auto"/>
              <w:bottom w:val="single" w:sz="4" w:space="0" w:color="auto"/>
              <w:right w:val="single" w:sz="4" w:space="0" w:color="auto"/>
            </w:tcBorders>
            <w:shd w:val="clear" w:color="000000" w:fill="92CDDC"/>
            <w:noWrap/>
            <w:vAlign w:val="center"/>
            <w:hideMark/>
          </w:tcPr>
          <w:p w14:paraId="2B77B700"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POSEBNI DIO: Rashodi</w:t>
            </w:r>
          </w:p>
        </w:tc>
        <w:tc>
          <w:tcPr>
            <w:tcW w:w="660" w:type="pct"/>
            <w:tcBorders>
              <w:top w:val="nil"/>
              <w:left w:val="nil"/>
              <w:bottom w:val="single" w:sz="4" w:space="0" w:color="auto"/>
              <w:right w:val="single" w:sz="4" w:space="0" w:color="auto"/>
            </w:tcBorders>
            <w:shd w:val="clear" w:color="000000" w:fill="92CDDC"/>
            <w:noWrap/>
            <w:vAlign w:val="center"/>
            <w:hideMark/>
          </w:tcPr>
          <w:p w14:paraId="2AB43359"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1</w:t>
            </w:r>
          </w:p>
        </w:tc>
        <w:tc>
          <w:tcPr>
            <w:tcW w:w="667" w:type="pct"/>
            <w:tcBorders>
              <w:top w:val="nil"/>
              <w:left w:val="nil"/>
              <w:bottom w:val="single" w:sz="4" w:space="0" w:color="auto"/>
              <w:right w:val="single" w:sz="4" w:space="0" w:color="auto"/>
            </w:tcBorders>
            <w:shd w:val="clear" w:color="000000" w:fill="92CDDC"/>
            <w:noWrap/>
            <w:vAlign w:val="center"/>
            <w:hideMark/>
          </w:tcPr>
          <w:p w14:paraId="5E22A796"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2</w:t>
            </w:r>
          </w:p>
        </w:tc>
        <w:tc>
          <w:tcPr>
            <w:tcW w:w="660" w:type="pct"/>
            <w:tcBorders>
              <w:top w:val="nil"/>
              <w:left w:val="nil"/>
              <w:bottom w:val="single" w:sz="4" w:space="0" w:color="auto"/>
              <w:right w:val="single" w:sz="4" w:space="0" w:color="auto"/>
            </w:tcBorders>
            <w:shd w:val="clear" w:color="000000" w:fill="92CDDC"/>
            <w:noWrap/>
            <w:vAlign w:val="center"/>
            <w:hideMark/>
          </w:tcPr>
          <w:p w14:paraId="7283FF8E"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3</w:t>
            </w:r>
          </w:p>
        </w:tc>
        <w:tc>
          <w:tcPr>
            <w:tcW w:w="563" w:type="pct"/>
            <w:tcBorders>
              <w:top w:val="nil"/>
              <w:left w:val="nil"/>
              <w:bottom w:val="single" w:sz="4" w:space="0" w:color="auto"/>
              <w:right w:val="single" w:sz="4" w:space="0" w:color="auto"/>
            </w:tcBorders>
            <w:shd w:val="clear" w:color="000000" w:fill="92CDDC"/>
            <w:noWrap/>
            <w:vAlign w:val="center"/>
            <w:hideMark/>
          </w:tcPr>
          <w:p w14:paraId="4CEFD12A" w14:textId="77777777" w:rsidR="003A7F68" w:rsidRPr="003A7F68" w:rsidRDefault="003A7F68" w:rsidP="003A7F68">
            <w:pPr>
              <w:widowControl/>
              <w:autoSpaceDE/>
              <w:autoSpaceDN/>
              <w:adjustRightInd/>
              <w:jc w:val="center"/>
              <w:rPr>
                <w:rFonts w:ascii="Calibri" w:hAnsi="Calibri"/>
                <w:b/>
                <w:bCs/>
                <w:color w:val="000000"/>
                <w:sz w:val="18"/>
                <w:szCs w:val="18"/>
              </w:rPr>
            </w:pPr>
            <w:r w:rsidRPr="003A7F68">
              <w:rPr>
                <w:rFonts w:ascii="Calibri" w:hAnsi="Calibri"/>
                <w:b/>
                <w:bCs/>
                <w:color w:val="000000"/>
                <w:sz w:val="18"/>
                <w:szCs w:val="18"/>
              </w:rPr>
              <w:t>4 (3/2)*100</w:t>
            </w:r>
          </w:p>
        </w:tc>
      </w:tr>
      <w:tr w:rsidR="003A7F68" w:rsidRPr="003A7F68" w14:paraId="2636826E" w14:textId="77777777" w:rsidTr="003A7F68">
        <w:trPr>
          <w:trHeight w:val="300"/>
        </w:trPr>
        <w:tc>
          <w:tcPr>
            <w:tcW w:w="2450" w:type="pct"/>
            <w:tcBorders>
              <w:top w:val="single" w:sz="4" w:space="0" w:color="95B3D7"/>
              <w:left w:val="nil"/>
              <w:bottom w:val="single" w:sz="4" w:space="0" w:color="95B3D7"/>
              <w:right w:val="nil"/>
            </w:tcBorders>
            <w:shd w:val="clear" w:color="000000" w:fill="8DB4E2"/>
            <w:noWrap/>
            <w:vAlign w:val="bottom"/>
            <w:hideMark/>
          </w:tcPr>
          <w:p w14:paraId="2B3270BE" w14:textId="77777777" w:rsidR="003A7F68" w:rsidRPr="003A7F68" w:rsidRDefault="003A7F68" w:rsidP="003A7F68">
            <w:pPr>
              <w:widowControl/>
              <w:autoSpaceDE/>
              <w:autoSpaceDN/>
              <w:adjustRightInd/>
              <w:jc w:val="left"/>
              <w:rPr>
                <w:rFonts w:ascii="Calibri" w:hAnsi="Calibri"/>
                <w:b/>
                <w:bCs/>
                <w:color w:val="000000"/>
                <w:sz w:val="18"/>
                <w:szCs w:val="18"/>
              </w:rPr>
            </w:pPr>
            <w:r w:rsidRPr="003A7F68">
              <w:rPr>
                <w:rFonts w:ascii="Calibri" w:hAnsi="Calibri"/>
                <w:b/>
                <w:bCs/>
                <w:color w:val="000000"/>
                <w:sz w:val="18"/>
                <w:szCs w:val="18"/>
              </w:rPr>
              <w:t>RAZDJEL 185 DRŽAVNI URED ZA REVIZIJU</w:t>
            </w:r>
          </w:p>
        </w:tc>
        <w:tc>
          <w:tcPr>
            <w:tcW w:w="660"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491BE61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67" w:type="pct"/>
            <w:tcBorders>
              <w:top w:val="single" w:sz="4" w:space="0" w:color="95B3D7"/>
              <w:left w:val="nil"/>
              <w:bottom w:val="single" w:sz="4" w:space="0" w:color="95B3D7"/>
              <w:right w:val="nil"/>
            </w:tcBorders>
            <w:shd w:val="clear" w:color="000000" w:fill="8DB4E2"/>
            <w:noWrap/>
            <w:vAlign w:val="bottom"/>
            <w:hideMark/>
          </w:tcPr>
          <w:p w14:paraId="4E56DB9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60"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75341F6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63" w:type="pct"/>
            <w:tcBorders>
              <w:top w:val="single" w:sz="4" w:space="0" w:color="95B3D7"/>
              <w:left w:val="nil"/>
              <w:bottom w:val="single" w:sz="4" w:space="0" w:color="95B3D7"/>
              <w:right w:val="nil"/>
            </w:tcBorders>
            <w:shd w:val="clear" w:color="000000" w:fill="8DB4E2"/>
            <w:noWrap/>
            <w:vAlign w:val="bottom"/>
            <w:hideMark/>
          </w:tcPr>
          <w:p w14:paraId="6BA4A40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1970FF08" w14:textId="77777777" w:rsidTr="003A7F68">
        <w:trPr>
          <w:trHeight w:val="300"/>
        </w:trPr>
        <w:tc>
          <w:tcPr>
            <w:tcW w:w="2450" w:type="pct"/>
            <w:tcBorders>
              <w:top w:val="nil"/>
              <w:left w:val="nil"/>
              <w:bottom w:val="nil"/>
              <w:right w:val="nil"/>
            </w:tcBorders>
            <w:shd w:val="clear" w:color="000000" w:fill="8DB4E2"/>
            <w:noWrap/>
            <w:vAlign w:val="bottom"/>
            <w:hideMark/>
          </w:tcPr>
          <w:p w14:paraId="14368B9B" w14:textId="77777777" w:rsidR="003A7F68" w:rsidRPr="003A7F68" w:rsidRDefault="003A7F68" w:rsidP="003A7F68">
            <w:pPr>
              <w:widowControl/>
              <w:autoSpaceDE/>
              <w:autoSpaceDN/>
              <w:adjustRightInd/>
              <w:ind w:firstLineChars="100" w:firstLine="180"/>
              <w:jc w:val="left"/>
              <w:rPr>
                <w:rFonts w:ascii="Calibri" w:hAnsi="Calibri"/>
                <w:b/>
                <w:bCs/>
                <w:color w:val="000000"/>
                <w:sz w:val="18"/>
                <w:szCs w:val="18"/>
              </w:rPr>
            </w:pPr>
            <w:r w:rsidRPr="003A7F68">
              <w:rPr>
                <w:rFonts w:ascii="Calibri" w:hAnsi="Calibri"/>
                <w:b/>
                <w:bCs/>
                <w:color w:val="000000"/>
                <w:sz w:val="18"/>
                <w:szCs w:val="18"/>
              </w:rPr>
              <w:t>GLAVA 18505</w:t>
            </w:r>
          </w:p>
        </w:tc>
        <w:tc>
          <w:tcPr>
            <w:tcW w:w="660" w:type="pct"/>
            <w:tcBorders>
              <w:top w:val="nil"/>
              <w:left w:val="single" w:sz="4" w:space="0" w:color="95B3D7"/>
              <w:bottom w:val="nil"/>
              <w:right w:val="single" w:sz="4" w:space="0" w:color="95B3D7"/>
            </w:tcBorders>
            <w:shd w:val="clear" w:color="000000" w:fill="8DB4E2"/>
            <w:noWrap/>
            <w:vAlign w:val="bottom"/>
            <w:hideMark/>
          </w:tcPr>
          <w:p w14:paraId="0B96846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67" w:type="pct"/>
            <w:tcBorders>
              <w:top w:val="nil"/>
              <w:left w:val="nil"/>
              <w:bottom w:val="nil"/>
              <w:right w:val="nil"/>
            </w:tcBorders>
            <w:shd w:val="clear" w:color="000000" w:fill="8DB4E2"/>
            <w:noWrap/>
            <w:vAlign w:val="bottom"/>
            <w:hideMark/>
          </w:tcPr>
          <w:p w14:paraId="2861A3F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60" w:type="pct"/>
            <w:tcBorders>
              <w:top w:val="nil"/>
              <w:left w:val="single" w:sz="4" w:space="0" w:color="95B3D7"/>
              <w:bottom w:val="nil"/>
              <w:right w:val="single" w:sz="4" w:space="0" w:color="95B3D7"/>
            </w:tcBorders>
            <w:shd w:val="clear" w:color="000000" w:fill="8DB4E2"/>
            <w:noWrap/>
            <w:vAlign w:val="bottom"/>
            <w:hideMark/>
          </w:tcPr>
          <w:p w14:paraId="44DBA74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63" w:type="pct"/>
            <w:tcBorders>
              <w:top w:val="nil"/>
              <w:left w:val="nil"/>
              <w:bottom w:val="nil"/>
              <w:right w:val="nil"/>
            </w:tcBorders>
            <w:shd w:val="clear" w:color="000000" w:fill="8DB4E2"/>
            <w:noWrap/>
            <w:vAlign w:val="bottom"/>
            <w:hideMark/>
          </w:tcPr>
          <w:p w14:paraId="39AC136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691F3936" w14:textId="77777777" w:rsidTr="003A7F68">
        <w:trPr>
          <w:trHeight w:val="300"/>
        </w:trPr>
        <w:tc>
          <w:tcPr>
            <w:tcW w:w="2450" w:type="pct"/>
            <w:tcBorders>
              <w:top w:val="single" w:sz="4" w:space="0" w:color="95B3D7"/>
              <w:left w:val="nil"/>
              <w:bottom w:val="single" w:sz="4" w:space="0" w:color="95B3D7"/>
              <w:right w:val="nil"/>
            </w:tcBorders>
            <w:shd w:val="clear" w:color="000000" w:fill="8DB4E2"/>
            <w:noWrap/>
            <w:vAlign w:val="bottom"/>
            <w:hideMark/>
          </w:tcPr>
          <w:p w14:paraId="1EF49A9E" w14:textId="77777777" w:rsidR="003A7F68" w:rsidRPr="003A7F68" w:rsidRDefault="003A7F68" w:rsidP="003A7F68">
            <w:pPr>
              <w:widowControl/>
              <w:autoSpaceDE/>
              <w:autoSpaceDN/>
              <w:adjustRightInd/>
              <w:ind w:firstLineChars="200" w:firstLine="360"/>
              <w:jc w:val="left"/>
              <w:rPr>
                <w:rFonts w:ascii="Calibri" w:hAnsi="Calibri"/>
                <w:b/>
                <w:bCs/>
                <w:color w:val="000000"/>
                <w:sz w:val="18"/>
                <w:szCs w:val="18"/>
              </w:rPr>
            </w:pPr>
            <w:r w:rsidRPr="003A7F68">
              <w:rPr>
                <w:rFonts w:ascii="Calibri" w:hAnsi="Calibri"/>
                <w:b/>
                <w:bCs/>
                <w:color w:val="000000"/>
                <w:sz w:val="18"/>
                <w:szCs w:val="18"/>
              </w:rPr>
              <w:t>22 FINANCIJSKI I FISKALNI SUSTAV</w:t>
            </w:r>
          </w:p>
        </w:tc>
        <w:tc>
          <w:tcPr>
            <w:tcW w:w="660"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28DC688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67" w:type="pct"/>
            <w:tcBorders>
              <w:top w:val="single" w:sz="4" w:space="0" w:color="95B3D7"/>
              <w:left w:val="nil"/>
              <w:bottom w:val="single" w:sz="4" w:space="0" w:color="95B3D7"/>
              <w:right w:val="nil"/>
            </w:tcBorders>
            <w:shd w:val="clear" w:color="000000" w:fill="8DB4E2"/>
            <w:noWrap/>
            <w:vAlign w:val="bottom"/>
            <w:hideMark/>
          </w:tcPr>
          <w:p w14:paraId="2AA2E7A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60" w:type="pct"/>
            <w:tcBorders>
              <w:top w:val="single" w:sz="4" w:space="0" w:color="95B3D7"/>
              <w:left w:val="single" w:sz="4" w:space="0" w:color="95B3D7"/>
              <w:bottom w:val="single" w:sz="4" w:space="0" w:color="95B3D7"/>
              <w:right w:val="single" w:sz="4" w:space="0" w:color="95B3D7"/>
            </w:tcBorders>
            <w:shd w:val="clear" w:color="000000" w:fill="8DB4E2"/>
            <w:noWrap/>
            <w:vAlign w:val="bottom"/>
            <w:hideMark/>
          </w:tcPr>
          <w:p w14:paraId="469E892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63" w:type="pct"/>
            <w:tcBorders>
              <w:top w:val="single" w:sz="4" w:space="0" w:color="95B3D7"/>
              <w:left w:val="nil"/>
              <w:bottom w:val="single" w:sz="4" w:space="0" w:color="95B3D7"/>
              <w:right w:val="nil"/>
            </w:tcBorders>
            <w:shd w:val="clear" w:color="000000" w:fill="8DB4E2"/>
            <w:noWrap/>
            <w:vAlign w:val="bottom"/>
            <w:hideMark/>
          </w:tcPr>
          <w:p w14:paraId="4B00649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5E3C03F7" w14:textId="77777777" w:rsidTr="003A7F68">
        <w:trPr>
          <w:trHeight w:val="300"/>
        </w:trPr>
        <w:tc>
          <w:tcPr>
            <w:tcW w:w="2450" w:type="pct"/>
            <w:tcBorders>
              <w:top w:val="nil"/>
              <w:left w:val="nil"/>
              <w:bottom w:val="nil"/>
              <w:right w:val="nil"/>
            </w:tcBorders>
            <w:shd w:val="clear" w:color="000000" w:fill="8DB4E2"/>
            <w:noWrap/>
            <w:vAlign w:val="bottom"/>
            <w:hideMark/>
          </w:tcPr>
          <w:p w14:paraId="6DE2B657" w14:textId="77777777" w:rsidR="003A7F68" w:rsidRPr="003A7F68" w:rsidRDefault="003A7F68" w:rsidP="003A7F68">
            <w:pPr>
              <w:widowControl/>
              <w:autoSpaceDE/>
              <w:autoSpaceDN/>
              <w:adjustRightInd/>
              <w:ind w:firstLineChars="300" w:firstLine="540"/>
              <w:jc w:val="left"/>
              <w:rPr>
                <w:rFonts w:ascii="Calibri" w:hAnsi="Calibri"/>
                <w:b/>
                <w:bCs/>
                <w:color w:val="000000"/>
                <w:sz w:val="18"/>
                <w:szCs w:val="18"/>
              </w:rPr>
            </w:pPr>
            <w:r w:rsidRPr="003A7F68">
              <w:rPr>
                <w:rFonts w:ascii="Calibri" w:hAnsi="Calibri"/>
                <w:b/>
                <w:bCs/>
                <w:color w:val="000000"/>
                <w:sz w:val="18"/>
                <w:szCs w:val="18"/>
              </w:rPr>
              <w:t>2208 DJELOVANJE DRŽAVNOG UREDA ZA REVIZIJU</w:t>
            </w:r>
          </w:p>
        </w:tc>
        <w:tc>
          <w:tcPr>
            <w:tcW w:w="660" w:type="pct"/>
            <w:tcBorders>
              <w:top w:val="nil"/>
              <w:left w:val="single" w:sz="4" w:space="0" w:color="95B3D7"/>
              <w:bottom w:val="nil"/>
              <w:right w:val="single" w:sz="4" w:space="0" w:color="95B3D7"/>
            </w:tcBorders>
            <w:shd w:val="clear" w:color="000000" w:fill="8DB4E2"/>
            <w:noWrap/>
            <w:vAlign w:val="bottom"/>
            <w:hideMark/>
          </w:tcPr>
          <w:p w14:paraId="2D7A0CC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67" w:type="pct"/>
            <w:tcBorders>
              <w:top w:val="nil"/>
              <w:left w:val="nil"/>
              <w:bottom w:val="nil"/>
              <w:right w:val="nil"/>
            </w:tcBorders>
            <w:shd w:val="clear" w:color="000000" w:fill="8DB4E2"/>
            <w:noWrap/>
            <w:vAlign w:val="bottom"/>
            <w:hideMark/>
          </w:tcPr>
          <w:p w14:paraId="3E4850B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60" w:type="pct"/>
            <w:tcBorders>
              <w:top w:val="nil"/>
              <w:left w:val="single" w:sz="4" w:space="0" w:color="95B3D7"/>
              <w:bottom w:val="nil"/>
              <w:right w:val="single" w:sz="4" w:space="0" w:color="95B3D7"/>
            </w:tcBorders>
            <w:shd w:val="clear" w:color="000000" w:fill="8DB4E2"/>
            <w:noWrap/>
            <w:vAlign w:val="bottom"/>
            <w:hideMark/>
          </w:tcPr>
          <w:p w14:paraId="774D0E9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63" w:type="pct"/>
            <w:tcBorders>
              <w:top w:val="nil"/>
              <w:left w:val="nil"/>
              <w:bottom w:val="nil"/>
              <w:right w:val="nil"/>
            </w:tcBorders>
            <w:shd w:val="clear" w:color="000000" w:fill="8DB4E2"/>
            <w:noWrap/>
            <w:vAlign w:val="bottom"/>
            <w:hideMark/>
          </w:tcPr>
          <w:p w14:paraId="6236753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r w:rsidR="003A7F68" w:rsidRPr="003A7F68" w14:paraId="6B62A547" w14:textId="77777777" w:rsidTr="003A7F68">
        <w:trPr>
          <w:trHeight w:val="300"/>
        </w:trPr>
        <w:tc>
          <w:tcPr>
            <w:tcW w:w="2450" w:type="pct"/>
            <w:tcBorders>
              <w:top w:val="single" w:sz="4" w:space="0" w:color="95B3D7"/>
              <w:left w:val="nil"/>
              <w:bottom w:val="single" w:sz="4" w:space="0" w:color="95B3D7"/>
              <w:right w:val="nil"/>
            </w:tcBorders>
            <w:shd w:val="clear" w:color="000000" w:fill="FABF8F"/>
            <w:vAlign w:val="bottom"/>
            <w:hideMark/>
          </w:tcPr>
          <w:p w14:paraId="3F710906" w14:textId="77777777" w:rsidR="003A7F68" w:rsidRPr="003A7F68" w:rsidRDefault="003A7F68" w:rsidP="003A7F68">
            <w:pPr>
              <w:widowControl/>
              <w:autoSpaceDE/>
              <w:autoSpaceDN/>
              <w:adjustRightInd/>
              <w:ind w:firstLineChars="400" w:firstLine="720"/>
              <w:jc w:val="left"/>
              <w:rPr>
                <w:rFonts w:ascii="Calibri" w:hAnsi="Calibri"/>
                <w:b/>
                <w:bCs/>
                <w:color w:val="000000"/>
                <w:sz w:val="18"/>
                <w:szCs w:val="18"/>
              </w:rPr>
            </w:pPr>
            <w:r w:rsidRPr="003A7F68">
              <w:rPr>
                <w:rFonts w:ascii="Calibri" w:hAnsi="Calibri"/>
                <w:b/>
                <w:bCs/>
                <w:color w:val="000000"/>
                <w:sz w:val="18"/>
                <w:szCs w:val="18"/>
              </w:rPr>
              <w:t>A665000 ADMINISTRACIJA I UPRAVLJANJE</w:t>
            </w:r>
          </w:p>
        </w:tc>
        <w:tc>
          <w:tcPr>
            <w:tcW w:w="660" w:type="pct"/>
            <w:tcBorders>
              <w:top w:val="single" w:sz="4" w:space="0" w:color="95B3D7"/>
              <w:left w:val="single" w:sz="4" w:space="0" w:color="95B3D7"/>
              <w:bottom w:val="single" w:sz="4" w:space="0" w:color="95B3D7"/>
              <w:right w:val="single" w:sz="4" w:space="0" w:color="95B3D7"/>
            </w:tcBorders>
            <w:shd w:val="clear" w:color="000000" w:fill="FABF8F"/>
            <w:noWrap/>
            <w:vAlign w:val="bottom"/>
            <w:hideMark/>
          </w:tcPr>
          <w:p w14:paraId="6E74136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13.894.190,00</w:t>
            </w:r>
          </w:p>
        </w:tc>
        <w:tc>
          <w:tcPr>
            <w:tcW w:w="667" w:type="pct"/>
            <w:tcBorders>
              <w:top w:val="single" w:sz="4" w:space="0" w:color="95B3D7"/>
              <w:left w:val="nil"/>
              <w:bottom w:val="single" w:sz="4" w:space="0" w:color="95B3D7"/>
              <w:right w:val="nil"/>
            </w:tcBorders>
            <w:shd w:val="clear" w:color="000000" w:fill="FABF8F"/>
            <w:noWrap/>
            <w:vAlign w:val="bottom"/>
            <w:hideMark/>
          </w:tcPr>
          <w:p w14:paraId="761949A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10.747.368,00</w:t>
            </w:r>
          </w:p>
        </w:tc>
        <w:tc>
          <w:tcPr>
            <w:tcW w:w="660" w:type="pct"/>
            <w:tcBorders>
              <w:top w:val="single" w:sz="4" w:space="0" w:color="95B3D7"/>
              <w:left w:val="single" w:sz="4" w:space="0" w:color="95B3D7"/>
              <w:bottom w:val="single" w:sz="4" w:space="0" w:color="95B3D7"/>
              <w:right w:val="single" w:sz="4" w:space="0" w:color="95B3D7"/>
            </w:tcBorders>
            <w:shd w:val="clear" w:color="000000" w:fill="FABF8F"/>
            <w:noWrap/>
            <w:vAlign w:val="bottom"/>
            <w:hideMark/>
          </w:tcPr>
          <w:p w14:paraId="432B99F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10.608.072,58</w:t>
            </w:r>
          </w:p>
        </w:tc>
        <w:tc>
          <w:tcPr>
            <w:tcW w:w="563" w:type="pct"/>
            <w:tcBorders>
              <w:top w:val="single" w:sz="4" w:space="0" w:color="95B3D7"/>
              <w:left w:val="nil"/>
              <w:bottom w:val="single" w:sz="4" w:space="0" w:color="95B3D7"/>
              <w:right w:val="nil"/>
            </w:tcBorders>
            <w:shd w:val="clear" w:color="000000" w:fill="FABF8F"/>
            <w:noWrap/>
            <w:vAlign w:val="bottom"/>
            <w:hideMark/>
          </w:tcPr>
          <w:p w14:paraId="7ABE237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98,70</w:t>
            </w:r>
          </w:p>
        </w:tc>
      </w:tr>
      <w:tr w:rsidR="003A7F68" w:rsidRPr="003A7F68" w14:paraId="52AEAFC4" w14:textId="77777777" w:rsidTr="003A7F68">
        <w:trPr>
          <w:trHeight w:val="300"/>
        </w:trPr>
        <w:tc>
          <w:tcPr>
            <w:tcW w:w="2450" w:type="pct"/>
            <w:tcBorders>
              <w:top w:val="nil"/>
              <w:left w:val="nil"/>
              <w:bottom w:val="nil"/>
              <w:right w:val="nil"/>
            </w:tcBorders>
            <w:shd w:val="clear" w:color="000000" w:fill="CCC0DA"/>
            <w:vAlign w:val="bottom"/>
            <w:hideMark/>
          </w:tcPr>
          <w:p w14:paraId="426B7F1E"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11 OPĆI PRIHODI I PRIMICI</w:t>
            </w:r>
          </w:p>
        </w:tc>
        <w:tc>
          <w:tcPr>
            <w:tcW w:w="660" w:type="pct"/>
            <w:tcBorders>
              <w:top w:val="nil"/>
              <w:left w:val="single" w:sz="4" w:space="0" w:color="95B3D7"/>
              <w:bottom w:val="nil"/>
              <w:right w:val="single" w:sz="4" w:space="0" w:color="95B3D7"/>
            </w:tcBorders>
            <w:shd w:val="clear" w:color="000000" w:fill="CCC0DA"/>
            <w:noWrap/>
            <w:vAlign w:val="bottom"/>
            <w:hideMark/>
          </w:tcPr>
          <w:p w14:paraId="30F8722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12.776.771,00</w:t>
            </w:r>
          </w:p>
        </w:tc>
        <w:tc>
          <w:tcPr>
            <w:tcW w:w="667" w:type="pct"/>
            <w:tcBorders>
              <w:top w:val="nil"/>
              <w:left w:val="nil"/>
              <w:bottom w:val="nil"/>
              <w:right w:val="nil"/>
            </w:tcBorders>
            <w:shd w:val="clear" w:color="000000" w:fill="CCC0DA"/>
            <w:noWrap/>
            <w:vAlign w:val="bottom"/>
            <w:hideMark/>
          </w:tcPr>
          <w:p w14:paraId="463FE3E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10.190.358,00</w:t>
            </w:r>
          </w:p>
        </w:tc>
        <w:tc>
          <w:tcPr>
            <w:tcW w:w="660" w:type="pct"/>
            <w:tcBorders>
              <w:top w:val="nil"/>
              <w:left w:val="single" w:sz="4" w:space="0" w:color="95B3D7"/>
              <w:bottom w:val="nil"/>
              <w:right w:val="single" w:sz="4" w:space="0" w:color="95B3D7"/>
            </w:tcBorders>
            <w:shd w:val="clear" w:color="000000" w:fill="CCC0DA"/>
            <w:noWrap/>
            <w:vAlign w:val="bottom"/>
            <w:hideMark/>
          </w:tcPr>
          <w:p w14:paraId="1C164B4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10.115.897,51</w:t>
            </w:r>
          </w:p>
        </w:tc>
        <w:tc>
          <w:tcPr>
            <w:tcW w:w="563" w:type="pct"/>
            <w:tcBorders>
              <w:top w:val="nil"/>
              <w:left w:val="nil"/>
              <w:bottom w:val="nil"/>
              <w:right w:val="nil"/>
            </w:tcBorders>
            <w:shd w:val="clear" w:color="000000" w:fill="CCC0DA"/>
            <w:noWrap/>
            <w:vAlign w:val="bottom"/>
            <w:hideMark/>
          </w:tcPr>
          <w:p w14:paraId="1E52345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99,27</w:t>
            </w:r>
          </w:p>
        </w:tc>
      </w:tr>
      <w:tr w:rsidR="003A7F68" w:rsidRPr="003A7F68" w14:paraId="498DF192" w14:textId="77777777" w:rsidTr="003A7F68">
        <w:trPr>
          <w:trHeight w:val="300"/>
        </w:trPr>
        <w:tc>
          <w:tcPr>
            <w:tcW w:w="2450" w:type="pct"/>
            <w:tcBorders>
              <w:top w:val="single" w:sz="4" w:space="0" w:color="95B3D7"/>
              <w:left w:val="nil"/>
              <w:bottom w:val="single" w:sz="4" w:space="0" w:color="95B3D7"/>
              <w:right w:val="nil"/>
            </w:tcBorders>
            <w:shd w:val="clear" w:color="000000" w:fill="DCE6F1"/>
            <w:vAlign w:val="bottom"/>
            <w:hideMark/>
          </w:tcPr>
          <w:p w14:paraId="1299DAF5"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31 Rashodi za zaposlene</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37199E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8.587.079,00</w:t>
            </w:r>
          </w:p>
        </w:tc>
        <w:tc>
          <w:tcPr>
            <w:tcW w:w="667" w:type="pct"/>
            <w:tcBorders>
              <w:top w:val="single" w:sz="4" w:space="0" w:color="95B3D7"/>
              <w:left w:val="nil"/>
              <w:bottom w:val="single" w:sz="4" w:space="0" w:color="95B3D7"/>
              <w:right w:val="nil"/>
            </w:tcBorders>
            <w:shd w:val="clear" w:color="000000" w:fill="DCE6F1"/>
            <w:noWrap/>
            <w:vAlign w:val="bottom"/>
            <w:hideMark/>
          </w:tcPr>
          <w:p w14:paraId="282B30C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8.508.079,00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BFA282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8.501.634,74</w:t>
            </w:r>
          </w:p>
        </w:tc>
        <w:tc>
          <w:tcPr>
            <w:tcW w:w="563" w:type="pct"/>
            <w:tcBorders>
              <w:top w:val="single" w:sz="4" w:space="0" w:color="95B3D7"/>
              <w:left w:val="nil"/>
              <w:bottom w:val="single" w:sz="4" w:space="0" w:color="95B3D7"/>
              <w:right w:val="nil"/>
            </w:tcBorders>
            <w:shd w:val="clear" w:color="000000" w:fill="DCE6F1"/>
            <w:noWrap/>
            <w:vAlign w:val="bottom"/>
            <w:hideMark/>
          </w:tcPr>
          <w:p w14:paraId="66E3BB1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99,92</w:t>
            </w:r>
          </w:p>
        </w:tc>
      </w:tr>
      <w:tr w:rsidR="003A7F68" w:rsidRPr="003A7F68" w14:paraId="4B883BDC" w14:textId="77777777" w:rsidTr="003A7F68">
        <w:trPr>
          <w:trHeight w:val="300"/>
        </w:trPr>
        <w:tc>
          <w:tcPr>
            <w:tcW w:w="2450" w:type="pct"/>
            <w:tcBorders>
              <w:top w:val="nil"/>
              <w:left w:val="nil"/>
              <w:bottom w:val="nil"/>
              <w:right w:val="nil"/>
            </w:tcBorders>
            <w:shd w:val="clear" w:color="auto" w:fill="auto"/>
            <w:vAlign w:val="bottom"/>
            <w:hideMark/>
          </w:tcPr>
          <w:p w14:paraId="6579440E"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3111 Plaće za redovni rad</w:t>
            </w:r>
          </w:p>
        </w:tc>
        <w:tc>
          <w:tcPr>
            <w:tcW w:w="660" w:type="pct"/>
            <w:tcBorders>
              <w:top w:val="nil"/>
              <w:left w:val="single" w:sz="4" w:space="0" w:color="95B3D7"/>
              <w:bottom w:val="nil"/>
              <w:right w:val="single" w:sz="4" w:space="0" w:color="95B3D7"/>
            </w:tcBorders>
            <w:shd w:val="clear" w:color="auto" w:fill="auto"/>
            <w:noWrap/>
            <w:vAlign w:val="bottom"/>
            <w:hideMark/>
          </w:tcPr>
          <w:p w14:paraId="7834BB0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7.113.943,00</w:t>
            </w:r>
          </w:p>
        </w:tc>
        <w:tc>
          <w:tcPr>
            <w:tcW w:w="667" w:type="pct"/>
            <w:tcBorders>
              <w:top w:val="nil"/>
              <w:left w:val="nil"/>
              <w:bottom w:val="nil"/>
              <w:right w:val="nil"/>
            </w:tcBorders>
            <w:shd w:val="clear" w:color="auto" w:fill="auto"/>
            <w:noWrap/>
            <w:vAlign w:val="bottom"/>
            <w:hideMark/>
          </w:tcPr>
          <w:p w14:paraId="19F7011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7.054.943,00</w:t>
            </w:r>
          </w:p>
        </w:tc>
        <w:tc>
          <w:tcPr>
            <w:tcW w:w="660" w:type="pct"/>
            <w:tcBorders>
              <w:top w:val="nil"/>
              <w:left w:val="single" w:sz="4" w:space="0" w:color="95B3D7"/>
              <w:bottom w:val="nil"/>
              <w:right w:val="single" w:sz="4" w:space="0" w:color="95B3D7"/>
            </w:tcBorders>
            <w:shd w:val="clear" w:color="auto" w:fill="auto"/>
            <w:noWrap/>
            <w:vAlign w:val="bottom"/>
            <w:hideMark/>
          </w:tcPr>
          <w:p w14:paraId="33F270CE"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7.054.804,05</w:t>
            </w:r>
          </w:p>
        </w:tc>
        <w:tc>
          <w:tcPr>
            <w:tcW w:w="563" w:type="pct"/>
            <w:tcBorders>
              <w:top w:val="nil"/>
              <w:left w:val="nil"/>
              <w:bottom w:val="nil"/>
              <w:right w:val="nil"/>
            </w:tcBorders>
            <w:shd w:val="clear" w:color="auto" w:fill="auto"/>
            <w:noWrap/>
            <w:vAlign w:val="bottom"/>
            <w:hideMark/>
          </w:tcPr>
          <w:p w14:paraId="76DE5C4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100,00</w:t>
            </w:r>
          </w:p>
        </w:tc>
      </w:tr>
      <w:tr w:rsidR="003A7F68" w:rsidRPr="003A7F68" w14:paraId="2F4DB4EF"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446D35D2"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3113 Plaće za prekovremeni rad</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CB69D6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26.545,00</w:t>
            </w:r>
          </w:p>
        </w:tc>
        <w:tc>
          <w:tcPr>
            <w:tcW w:w="667" w:type="pct"/>
            <w:tcBorders>
              <w:top w:val="single" w:sz="4" w:space="0" w:color="95B3D7"/>
              <w:left w:val="nil"/>
              <w:bottom w:val="single" w:sz="4" w:space="0" w:color="95B3D7"/>
              <w:right w:val="nil"/>
            </w:tcBorders>
            <w:shd w:val="clear" w:color="auto" w:fill="auto"/>
            <w:noWrap/>
            <w:vAlign w:val="bottom"/>
            <w:hideMark/>
          </w:tcPr>
          <w:p w14:paraId="74C0F8F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26.545,00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A1B19CE"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22.951,79</w:t>
            </w:r>
          </w:p>
        </w:tc>
        <w:tc>
          <w:tcPr>
            <w:tcW w:w="563" w:type="pct"/>
            <w:tcBorders>
              <w:top w:val="single" w:sz="4" w:space="0" w:color="95B3D7"/>
              <w:left w:val="nil"/>
              <w:bottom w:val="single" w:sz="4" w:space="0" w:color="95B3D7"/>
              <w:right w:val="nil"/>
            </w:tcBorders>
            <w:shd w:val="clear" w:color="auto" w:fill="auto"/>
            <w:noWrap/>
            <w:vAlign w:val="bottom"/>
            <w:hideMark/>
          </w:tcPr>
          <w:p w14:paraId="6CB9CF2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86,46</w:t>
            </w:r>
          </w:p>
        </w:tc>
      </w:tr>
      <w:tr w:rsidR="003A7F68" w:rsidRPr="003A7F68" w14:paraId="189EF02C" w14:textId="77777777" w:rsidTr="003A7F68">
        <w:trPr>
          <w:trHeight w:val="300"/>
        </w:trPr>
        <w:tc>
          <w:tcPr>
            <w:tcW w:w="2450" w:type="pct"/>
            <w:tcBorders>
              <w:top w:val="nil"/>
              <w:left w:val="nil"/>
              <w:bottom w:val="nil"/>
              <w:right w:val="nil"/>
            </w:tcBorders>
            <w:shd w:val="clear" w:color="auto" w:fill="auto"/>
            <w:vAlign w:val="bottom"/>
            <w:hideMark/>
          </w:tcPr>
          <w:p w14:paraId="532308AB"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3121 Ostali rashodi za zaposlene</w:t>
            </w:r>
          </w:p>
        </w:tc>
        <w:tc>
          <w:tcPr>
            <w:tcW w:w="660" w:type="pct"/>
            <w:tcBorders>
              <w:top w:val="nil"/>
              <w:left w:val="single" w:sz="4" w:space="0" w:color="95B3D7"/>
              <w:bottom w:val="nil"/>
              <w:right w:val="single" w:sz="4" w:space="0" w:color="95B3D7"/>
            </w:tcBorders>
            <w:shd w:val="clear" w:color="auto" w:fill="auto"/>
            <w:noWrap/>
            <w:vAlign w:val="bottom"/>
            <w:hideMark/>
          </w:tcPr>
          <w:p w14:paraId="02106BC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268.411,00</w:t>
            </w:r>
          </w:p>
        </w:tc>
        <w:tc>
          <w:tcPr>
            <w:tcW w:w="667" w:type="pct"/>
            <w:tcBorders>
              <w:top w:val="nil"/>
              <w:left w:val="nil"/>
              <w:bottom w:val="nil"/>
              <w:right w:val="nil"/>
            </w:tcBorders>
            <w:shd w:val="clear" w:color="auto" w:fill="auto"/>
            <w:noWrap/>
            <w:vAlign w:val="bottom"/>
            <w:hideMark/>
          </w:tcPr>
          <w:p w14:paraId="4B037B1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268.411,00</w:t>
            </w:r>
          </w:p>
        </w:tc>
        <w:tc>
          <w:tcPr>
            <w:tcW w:w="660" w:type="pct"/>
            <w:tcBorders>
              <w:top w:val="nil"/>
              <w:left w:val="single" w:sz="4" w:space="0" w:color="95B3D7"/>
              <w:bottom w:val="nil"/>
              <w:right w:val="single" w:sz="4" w:space="0" w:color="95B3D7"/>
            </w:tcBorders>
            <w:shd w:val="clear" w:color="auto" w:fill="auto"/>
            <w:noWrap/>
            <w:vAlign w:val="bottom"/>
            <w:hideMark/>
          </w:tcPr>
          <w:p w14:paraId="5F9644B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270.858,58</w:t>
            </w:r>
          </w:p>
        </w:tc>
        <w:tc>
          <w:tcPr>
            <w:tcW w:w="563" w:type="pct"/>
            <w:tcBorders>
              <w:top w:val="nil"/>
              <w:left w:val="nil"/>
              <w:bottom w:val="nil"/>
              <w:right w:val="nil"/>
            </w:tcBorders>
            <w:shd w:val="clear" w:color="auto" w:fill="auto"/>
            <w:noWrap/>
            <w:vAlign w:val="bottom"/>
            <w:hideMark/>
          </w:tcPr>
          <w:p w14:paraId="22D676F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100,91</w:t>
            </w:r>
          </w:p>
        </w:tc>
      </w:tr>
      <w:tr w:rsidR="003A7F68" w:rsidRPr="003A7F68" w14:paraId="597AE5EE"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66201A36"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3132 Doprinosi za obvezno zdravstveno </w:t>
            </w:r>
          </w:p>
          <w:p w14:paraId="247086ED" w14:textId="636CF5D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osiguranje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BF4FBC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1.178.180,00</w:t>
            </w:r>
          </w:p>
        </w:tc>
        <w:tc>
          <w:tcPr>
            <w:tcW w:w="667" w:type="pct"/>
            <w:tcBorders>
              <w:top w:val="single" w:sz="4" w:space="0" w:color="95B3D7"/>
              <w:left w:val="nil"/>
              <w:bottom w:val="single" w:sz="4" w:space="0" w:color="95B3D7"/>
              <w:right w:val="nil"/>
            </w:tcBorders>
            <w:shd w:val="clear" w:color="auto" w:fill="auto"/>
            <w:noWrap/>
            <w:vAlign w:val="bottom"/>
            <w:hideMark/>
          </w:tcPr>
          <w:p w14:paraId="506AE3C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1.158.180,00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FB1C3EE"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1.153.020,32</w:t>
            </w:r>
          </w:p>
        </w:tc>
        <w:tc>
          <w:tcPr>
            <w:tcW w:w="563" w:type="pct"/>
            <w:tcBorders>
              <w:top w:val="single" w:sz="4" w:space="0" w:color="95B3D7"/>
              <w:left w:val="nil"/>
              <w:bottom w:val="single" w:sz="4" w:space="0" w:color="95B3D7"/>
              <w:right w:val="nil"/>
            </w:tcBorders>
            <w:shd w:val="clear" w:color="auto" w:fill="auto"/>
            <w:noWrap/>
            <w:vAlign w:val="bottom"/>
            <w:hideMark/>
          </w:tcPr>
          <w:p w14:paraId="51B64B7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99,55</w:t>
            </w:r>
          </w:p>
        </w:tc>
      </w:tr>
      <w:tr w:rsidR="003A7F68" w:rsidRPr="003A7F68" w14:paraId="71A6E6F2" w14:textId="77777777" w:rsidTr="003A7F68">
        <w:trPr>
          <w:trHeight w:val="300"/>
        </w:trPr>
        <w:tc>
          <w:tcPr>
            <w:tcW w:w="2450" w:type="pct"/>
            <w:tcBorders>
              <w:top w:val="nil"/>
              <w:left w:val="nil"/>
              <w:bottom w:val="nil"/>
              <w:right w:val="nil"/>
            </w:tcBorders>
            <w:shd w:val="clear" w:color="000000" w:fill="DCE6F1"/>
            <w:vAlign w:val="bottom"/>
            <w:hideMark/>
          </w:tcPr>
          <w:p w14:paraId="5AD3CE66"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32 Materijalni rashodi</w:t>
            </w:r>
          </w:p>
        </w:tc>
        <w:tc>
          <w:tcPr>
            <w:tcW w:w="660" w:type="pct"/>
            <w:tcBorders>
              <w:top w:val="nil"/>
              <w:left w:val="single" w:sz="4" w:space="0" w:color="95B3D7"/>
              <w:bottom w:val="nil"/>
              <w:right w:val="single" w:sz="4" w:space="0" w:color="95B3D7"/>
            </w:tcBorders>
            <w:shd w:val="clear" w:color="000000" w:fill="DCE6F1"/>
            <w:noWrap/>
            <w:vAlign w:val="bottom"/>
            <w:hideMark/>
          </w:tcPr>
          <w:p w14:paraId="0AA2115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1.457.883,00</w:t>
            </w:r>
          </w:p>
        </w:tc>
        <w:tc>
          <w:tcPr>
            <w:tcW w:w="667" w:type="pct"/>
            <w:tcBorders>
              <w:top w:val="nil"/>
              <w:left w:val="nil"/>
              <w:bottom w:val="nil"/>
              <w:right w:val="nil"/>
            </w:tcBorders>
            <w:shd w:val="clear" w:color="000000" w:fill="DCE6F1"/>
            <w:noWrap/>
            <w:vAlign w:val="bottom"/>
            <w:hideMark/>
          </w:tcPr>
          <w:p w14:paraId="067F50B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1.255.883,00</w:t>
            </w:r>
          </w:p>
        </w:tc>
        <w:tc>
          <w:tcPr>
            <w:tcW w:w="660" w:type="pct"/>
            <w:tcBorders>
              <w:top w:val="nil"/>
              <w:left w:val="single" w:sz="4" w:space="0" w:color="95B3D7"/>
              <w:bottom w:val="nil"/>
              <w:right w:val="single" w:sz="4" w:space="0" w:color="95B3D7"/>
            </w:tcBorders>
            <w:shd w:val="clear" w:color="000000" w:fill="DCE6F1"/>
            <w:noWrap/>
            <w:vAlign w:val="bottom"/>
            <w:hideMark/>
          </w:tcPr>
          <w:p w14:paraId="5D47E20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1.199.159,80</w:t>
            </w:r>
          </w:p>
        </w:tc>
        <w:tc>
          <w:tcPr>
            <w:tcW w:w="563" w:type="pct"/>
            <w:tcBorders>
              <w:top w:val="nil"/>
              <w:left w:val="nil"/>
              <w:bottom w:val="nil"/>
              <w:right w:val="nil"/>
            </w:tcBorders>
            <w:shd w:val="clear" w:color="000000" w:fill="DCE6F1"/>
            <w:noWrap/>
            <w:vAlign w:val="bottom"/>
            <w:hideMark/>
          </w:tcPr>
          <w:p w14:paraId="29B7222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95,48</w:t>
            </w:r>
          </w:p>
        </w:tc>
      </w:tr>
      <w:tr w:rsidR="003A7F68" w:rsidRPr="003A7F68" w14:paraId="5EAF17C3"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2AF6C083"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3211 Službena putovanja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74418F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119.451,00</w:t>
            </w:r>
          </w:p>
        </w:tc>
        <w:tc>
          <w:tcPr>
            <w:tcW w:w="667" w:type="pct"/>
            <w:tcBorders>
              <w:top w:val="single" w:sz="4" w:space="0" w:color="95B3D7"/>
              <w:left w:val="nil"/>
              <w:bottom w:val="single" w:sz="4" w:space="0" w:color="95B3D7"/>
              <w:right w:val="nil"/>
            </w:tcBorders>
            <w:shd w:val="clear" w:color="auto" w:fill="auto"/>
            <w:noWrap/>
            <w:vAlign w:val="bottom"/>
            <w:hideMark/>
          </w:tcPr>
          <w:p w14:paraId="6A7E781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94.451,00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0D3268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90.346,67</w:t>
            </w:r>
          </w:p>
        </w:tc>
        <w:tc>
          <w:tcPr>
            <w:tcW w:w="563" w:type="pct"/>
            <w:tcBorders>
              <w:top w:val="single" w:sz="4" w:space="0" w:color="95B3D7"/>
              <w:left w:val="nil"/>
              <w:bottom w:val="single" w:sz="4" w:space="0" w:color="95B3D7"/>
              <w:right w:val="nil"/>
            </w:tcBorders>
            <w:shd w:val="clear" w:color="auto" w:fill="auto"/>
            <w:noWrap/>
            <w:vAlign w:val="bottom"/>
            <w:hideMark/>
          </w:tcPr>
          <w:p w14:paraId="0F7A377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95,65</w:t>
            </w:r>
          </w:p>
        </w:tc>
      </w:tr>
      <w:tr w:rsidR="003A7F68" w:rsidRPr="003A7F68" w14:paraId="6C1A847D" w14:textId="77777777" w:rsidTr="003A7F68">
        <w:trPr>
          <w:trHeight w:val="300"/>
        </w:trPr>
        <w:tc>
          <w:tcPr>
            <w:tcW w:w="2450" w:type="pct"/>
            <w:tcBorders>
              <w:top w:val="nil"/>
              <w:left w:val="nil"/>
              <w:bottom w:val="nil"/>
              <w:right w:val="nil"/>
            </w:tcBorders>
            <w:shd w:val="clear" w:color="auto" w:fill="auto"/>
            <w:vAlign w:val="bottom"/>
            <w:hideMark/>
          </w:tcPr>
          <w:p w14:paraId="69CDBC50"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3212 Naknade za prijevoz za rad na terenu i </w:t>
            </w:r>
          </w:p>
          <w:p w14:paraId="7E2F88E0" w14:textId="737BA74A"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odvojeni život</w:t>
            </w:r>
          </w:p>
        </w:tc>
        <w:tc>
          <w:tcPr>
            <w:tcW w:w="660" w:type="pct"/>
            <w:tcBorders>
              <w:top w:val="nil"/>
              <w:left w:val="single" w:sz="4" w:space="0" w:color="95B3D7"/>
              <w:bottom w:val="nil"/>
              <w:right w:val="single" w:sz="4" w:space="0" w:color="95B3D7"/>
            </w:tcBorders>
            <w:shd w:val="clear" w:color="auto" w:fill="auto"/>
            <w:noWrap/>
            <w:vAlign w:val="bottom"/>
            <w:hideMark/>
          </w:tcPr>
          <w:p w14:paraId="00A2EEF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187.665,00</w:t>
            </w:r>
          </w:p>
        </w:tc>
        <w:tc>
          <w:tcPr>
            <w:tcW w:w="667" w:type="pct"/>
            <w:tcBorders>
              <w:top w:val="nil"/>
              <w:left w:val="nil"/>
              <w:bottom w:val="nil"/>
              <w:right w:val="nil"/>
            </w:tcBorders>
            <w:shd w:val="clear" w:color="auto" w:fill="auto"/>
            <w:noWrap/>
            <w:vAlign w:val="bottom"/>
            <w:hideMark/>
          </w:tcPr>
          <w:p w14:paraId="05B546E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177.665,00</w:t>
            </w:r>
          </w:p>
        </w:tc>
        <w:tc>
          <w:tcPr>
            <w:tcW w:w="660" w:type="pct"/>
            <w:tcBorders>
              <w:top w:val="nil"/>
              <w:left w:val="single" w:sz="4" w:space="0" w:color="95B3D7"/>
              <w:bottom w:val="nil"/>
              <w:right w:val="single" w:sz="4" w:space="0" w:color="95B3D7"/>
            </w:tcBorders>
            <w:shd w:val="clear" w:color="auto" w:fill="auto"/>
            <w:noWrap/>
            <w:vAlign w:val="bottom"/>
            <w:hideMark/>
          </w:tcPr>
          <w:p w14:paraId="166CE97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173.039,23</w:t>
            </w:r>
          </w:p>
        </w:tc>
        <w:tc>
          <w:tcPr>
            <w:tcW w:w="563" w:type="pct"/>
            <w:tcBorders>
              <w:top w:val="nil"/>
              <w:left w:val="nil"/>
              <w:bottom w:val="nil"/>
              <w:right w:val="nil"/>
            </w:tcBorders>
            <w:shd w:val="clear" w:color="auto" w:fill="auto"/>
            <w:noWrap/>
            <w:vAlign w:val="bottom"/>
            <w:hideMark/>
          </w:tcPr>
          <w:p w14:paraId="6B45B41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97,40</w:t>
            </w:r>
          </w:p>
        </w:tc>
      </w:tr>
      <w:tr w:rsidR="003A7F68" w:rsidRPr="003A7F68" w14:paraId="01AABE0C"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5059B35C"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3213 Stručno usavršavanje zaposlenika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C42A55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38.089,00</w:t>
            </w:r>
          </w:p>
        </w:tc>
        <w:tc>
          <w:tcPr>
            <w:tcW w:w="667" w:type="pct"/>
            <w:tcBorders>
              <w:top w:val="single" w:sz="4" w:space="0" w:color="95B3D7"/>
              <w:left w:val="nil"/>
              <w:bottom w:val="single" w:sz="4" w:space="0" w:color="95B3D7"/>
              <w:right w:val="nil"/>
            </w:tcBorders>
            <w:shd w:val="clear" w:color="auto" w:fill="auto"/>
            <w:noWrap/>
            <w:vAlign w:val="bottom"/>
            <w:hideMark/>
          </w:tcPr>
          <w:p w14:paraId="43CCE68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24.089,00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6B565B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19.159,92</w:t>
            </w:r>
          </w:p>
        </w:tc>
        <w:tc>
          <w:tcPr>
            <w:tcW w:w="563" w:type="pct"/>
            <w:tcBorders>
              <w:top w:val="single" w:sz="4" w:space="0" w:color="95B3D7"/>
              <w:left w:val="nil"/>
              <w:bottom w:val="single" w:sz="4" w:space="0" w:color="95B3D7"/>
              <w:right w:val="nil"/>
            </w:tcBorders>
            <w:shd w:val="clear" w:color="auto" w:fill="auto"/>
            <w:noWrap/>
            <w:vAlign w:val="bottom"/>
            <w:hideMark/>
          </w:tcPr>
          <w:p w14:paraId="180B398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79,54</w:t>
            </w:r>
          </w:p>
        </w:tc>
      </w:tr>
      <w:tr w:rsidR="003A7F68" w:rsidRPr="003A7F68" w14:paraId="11A7F53D" w14:textId="77777777" w:rsidTr="003A7F68">
        <w:trPr>
          <w:trHeight w:val="300"/>
        </w:trPr>
        <w:tc>
          <w:tcPr>
            <w:tcW w:w="2450" w:type="pct"/>
            <w:tcBorders>
              <w:top w:val="nil"/>
              <w:left w:val="nil"/>
              <w:bottom w:val="nil"/>
              <w:right w:val="nil"/>
            </w:tcBorders>
            <w:shd w:val="clear" w:color="auto" w:fill="auto"/>
            <w:vAlign w:val="bottom"/>
            <w:hideMark/>
          </w:tcPr>
          <w:p w14:paraId="1F49ACC7"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3221 Uredski materijal i ostali materijalni </w:t>
            </w:r>
          </w:p>
          <w:p w14:paraId="0E498936" w14:textId="04CBF383"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rashodi</w:t>
            </w:r>
          </w:p>
        </w:tc>
        <w:tc>
          <w:tcPr>
            <w:tcW w:w="660" w:type="pct"/>
            <w:tcBorders>
              <w:top w:val="nil"/>
              <w:left w:val="single" w:sz="4" w:space="0" w:color="95B3D7"/>
              <w:bottom w:val="nil"/>
              <w:right w:val="single" w:sz="4" w:space="0" w:color="95B3D7"/>
            </w:tcBorders>
            <w:shd w:val="clear" w:color="auto" w:fill="auto"/>
            <w:noWrap/>
            <w:vAlign w:val="bottom"/>
            <w:hideMark/>
          </w:tcPr>
          <w:p w14:paraId="36218E9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73.707,00</w:t>
            </w:r>
          </w:p>
        </w:tc>
        <w:tc>
          <w:tcPr>
            <w:tcW w:w="667" w:type="pct"/>
            <w:tcBorders>
              <w:top w:val="nil"/>
              <w:left w:val="nil"/>
              <w:bottom w:val="nil"/>
              <w:right w:val="nil"/>
            </w:tcBorders>
            <w:shd w:val="clear" w:color="auto" w:fill="auto"/>
            <w:noWrap/>
            <w:vAlign w:val="bottom"/>
            <w:hideMark/>
          </w:tcPr>
          <w:p w14:paraId="406853F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73.707,00</w:t>
            </w:r>
          </w:p>
        </w:tc>
        <w:tc>
          <w:tcPr>
            <w:tcW w:w="660" w:type="pct"/>
            <w:tcBorders>
              <w:top w:val="nil"/>
              <w:left w:val="single" w:sz="4" w:space="0" w:color="95B3D7"/>
              <w:bottom w:val="nil"/>
              <w:right w:val="single" w:sz="4" w:space="0" w:color="95B3D7"/>
            </w:tcBorders>
            <w:shd w:val="clear" w:color="auto" w:fill="auto"/>
            <w:noWrap/>
            <w:vAlign w:val="bottom"/>
            <w:hideMark/>
          </w:tcPr>
          <w:p w14:paraId="7D6A9A3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70.159,52</w:t>
            </w:r>
          </w:p>
        </w:tc>
        <w:tc>
          <w:tcPr>
            <w:tcW w:w="563" w:type="pct"/>
            <w:tcBorders>
              <w:top w:val="nil"/>
              <w:left w:val="nil"/>
              <w:bottom w:val="nil"/>
              <w:right w:val="nil"/>
            </w:tcBorders>
            <w:shd w:val="clear" w:color="auto" w:fill="auto"/>
            <w:noWrap/>
            <w:vAlign w:val="bottom"/>
            <w:hideMark/>
          </w:tcPr>
          <w:p w14:paraId="7DAA847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95,19</w:t>
            </w:r>
          </w:p>
        </w:tc>
      </w:tr>
      <w:tr w:rsidR="003A7F68" w:rsidRPr="003A7F68" w14:paraId="5D15120C"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377E752"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3223 Energija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9F21D8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169.794,00</w:t>
            </w:r>
          </w:p>
        </w:tc>
        <w:tc>
          <w:tcPr>
            <w:tcW w:w="667" w:type="pct"/>
            <w:tcBorders>
              <w:top w:val="single" w:sz="4" w:space="0" w:color="95B3D7"/>
              <w:left w:val="nil"/>
              <w:bottom w:val="single" w:sz="4" w:space="0" w:color="95B3D7"/>
              <w:right w:val="nil"/>
            </w:tcBorders>
            <w:shd w:val="clear" w:color="auto" w:fill="auto"/>
            <w:noWrap/>
            <w:vAlign w:val="bottom"/>
            <w:hideMark/>
          </w:tcPr>
          <w:p w14:paraId="38640E9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116.794,00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18FF64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111.390,92</w:t>
            </w:r>
          </w:p>
        </w:tc>
        <w:tc>
          <w:tcPr>
            <w:tcW w:w="563" w:type="pct"/>
            <w:tcBorders>
              <w:top w:val="single" w:sz="4" w:space="0" w:color="95B3D7"/>
              <w:left w:val="nil"/>
              <w:bottom w:val="single" w:sz="4" w:space="0" w:color="95B3D7"/>
              <w:right w:val="nil"/>
            </w:tcBorders>
            <w:shd w:val="clear" w:color="auto" w:fill="auto"/>
            <w:noWrap/>
            <w:vAlign w:val="bottom"/>
            <w:hideMark/>
          </w:tcPr>
          <w:p w14:paraId="3AE778E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95,37</w:t>
            </w:r>
          </w:p>
        </w:tc>
      </w:tr>
      <w:tr w:rsidR="003A7F68" w:rsidRPr="003A7F68" w14:paraId="071CA734" w14:textId="77777777" w:rsidTr="003A7F68">
        <w:trPr>
          <w:trHeight w:val="300"/>
        </w:trPr>
        <w:tc>
          <w:tcPr>
            <w:tcW w:w="2450" w:type="pct"/>
            <w:tcBorders>
              <w:top w:val="nil"/>
              <w:left w:val="nil"/>
              <w:bottom w:val="nil"/>
              <w:right w:val="nil"/>
            </w:tcBorders>
            <w:shd w:val="clear" w:color="auto" w:fill="auto"/>
            <w:vAlign w:val="bottom"/>
            <w:hideMark/>
          </w:tcPr>
          <w:p w14:paraId="63650690"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3224 Materijal i dijelovi za tekuće i </w:t>
            </w:r>
          </w:p>
          <w:p w14:paraId="0C624D0D" w14:textId="64DBE820"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investicijsko održavanje</w:t>
            </w:r>
          </w:p>
        </w:tc>
        <w:tc>
          <w:tcPr>
            <w:tcW w:w="660" w:type="pct"/>
            <w:tcBorders>
              <w:top w:val="nil"/>
              <w:left w:val="single" w:sz="4" w:space="0" w:color="95B3D7"/>
              <w:bottom w:val="nil"/>
              <w:right w:val="single" w:sz="4" w:space="0" w:color="95B3D7"/>
            </w:tcBorders>
            <w:shd w:val="clear" w:color="auto" w:fill="auto"/>
            <w:noWrap/>
            <w:vAlign w:val="bottom"/>
            <w:hideMark/>
          </w:tcPr>
          <w:p w14:paraId="3232946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2.455,00</w:t>
            </w:r>
          </w:p>
        </w:tc>
        <w:tc>
          <w:tcPr>
            <w:tcW w:w="667" w:type="pct"/>
            <w:tcBorders>
              <w:top w:val="nil"/>
              <w:left w:val="nil"/>
              <w:bottom w:val="nil"/>
              <w:right w:val="nil"/>
            </w:tcBorders>
            <w:shd w:val="clear" w:color="auto" w:fill="auto"/>
            <w:noWrap/>
            <w:vAlign w:val="bottom"/>
            <w:hideMark/>
          </w:tcPr>
          <w:p w14:paraId="59744BD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2.455,00</w:t>
            </w:r>
          </w:p>
        </w:tc>
        <w:tc>
          <w:tcPr>
            <w:tcW w:w="660" w:type="pct"/>
            <w:tcBorders>
              <w:top w:val="nil"/>
              <w:left w:val="single" w:sz="4" w:space="0" w:color="95B3D7"/>
              <w:bottom w:val="nil"/>
              <w:right w:val="single" w:sz="4" w:space="0" w:color="95B3D7"/>
            </w:tcBorders>
            <w:shd w:val="clear" w:color="auto" w:fill="auto"/>
            <w:noWrap/>
            <w:vAlign w:val="bottom"/>
            <w:hideMark/>
          </w:tcPr>
          <w:p w14:paraId="5D8DA2A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272,85</w:t>
            </w:r>
          </w:p>
        </w:tc>
        <w:tc>
          <w:tcPr>
            <w:tcW w:w="563" w:type="pct"/>
            <w:tcBorders>
              <w:top w:val="nil"/>
              <w:left w:val="nil"/>
              <w:bottom w:val="nil"/>
              <w:right w:val="nil"/>
            </w:tcBorders>
            <w:shd w:val="clear" w:color="auto" w:fill="auto"/>
            <w:noWrap/>
            <w:vAlign w:val="bottom"/>
            <w:hideMark/>
          </w:tcPr>
          <w:p w14:paraId="1DA6126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11,11</w:t>
            </w:r>
          </w:p>
        </w:tc>
      </w:tr>
      <w:tr w:rsidR="003A7F68" w:rsidRPr="003A7F68" w14:paraId="72363F12"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14728B0"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3225 Sitni inventar i </w:t>
            </w:r>
            <w:proofErr w:type="spellStart"/>
            <w:r w:rsidRPr="003A7F68">
              <w:rPr>
                <w:rFonts w:ascii="Calibri" w:hAnsi="Calibri"/>
                <w:color w:val="000000"/>
                <w:sz w:val="18"/>
                <w:szCs w:val="18"/>
              </w:rPr>
              <w:t>autogume</w:t>
            </w:r>
            <w:proofErr w:type="spellEnd"/>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1F0EDF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7.963,00</w:t>
            </w:r>
          </w:p>
        </w:tc>
        <w:tc>
          <w:tcPr>
            <w:tcW w:w="667" w:type="pct"/>
            <w:tcBorders>
              <w:top w:val="single" w:sz="4" w:space="0" w:color="95B3D7"/>
              <w:left w:val="nil"/>
              <w:bottom w:val="single" w:sz="4" w:space="0" w:color="95B3D7"/>
              <w:right w:val="nil"/>
            </w:tcBorders>
            <w:shd w:val="clear" w:color="auto" w:fill="auto"/>
            <w:noWrap/>
            <w:vAlign w:val="bottom"/>
            <w:hideMark/>
          </w:tcPr>
          <w:p w14:paraId="22E6B4B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7.963,00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7B0887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6.987,47</w:t>
            </w:r>
          </w:p>
        </w:tc>
        <w:tc>
          <w:tcPr>
            <w:tcW w:w="563" w:type="pct"/>
            <w:tcBorders>
              <w:top w:val="single" w:sz="4" w:space="0" w:color="95B3D7"/>
              <w:left w:val="nil"/>
              <w:bottom w:val="single" w:sz="4" w:space="0" w:color="95B3D7"/>
              <w:right w:val="nil"/>
            </w:tcBorders>
            <w:shd w:val="clear" w:color="auto" w:fill="auto"/>
            <w:noWrap/>
            <w:vAlign w:val="bottom"/>
            <w:hideMark/>
          </w:tcPr>
          <w:p w14:paraId="1A70BE0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87,75</w:t>
            </w:r>
          </w:p>
        </w:tc>
      </w:tr>
      <w:tr w:rsidR="003A7F68" w:rsidRPr="003A7F68" w14:paraId="524E7013" w14:textId="77777777" w:rsidTr="003A7F68">
        <w:trPr>
          <w:trHeight w:val="300"/>
        </w:trPr>
        <w:tc>
          <w:tcPr>
            <w:tcW w:w="2450" w:type="pct"/>
            <w:tcBorders>
              <w:top w:val="nil"/>
              <w:left w:val="nil"/>
              <w:bottom w:val="nil"/>
              <w:right w:val="nil"/>
            </w:tcBorders>
            <w:shd w:val="clear" w:color="auto" w:fill="auto"/>
            <w:vAlign w:val="bottom"/>
            <w:hideMark/>
          </w:tcPr>
          <w:p w14:paraId="7FB9635E"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3227 Službena radna i zaštitna odjeća i </w:t>
            </w:r>
          </w:p>
          <w:p w14:paraId="261E8868" w14:textId="7AFAB9DE"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obuća</w:t>
            </w:r>
          </w:p>
        </w:tc>
        <w:tc>
          <w:tcPr>
            <w:tcW w:w="660" w:type="pct"/>
            <w:tcBorders>
              <w:top w:val="nil"/>
              <w:left w:val="single" w:sz="4" w:space="0" w:color="95B3D7"/>
              <w:bottom w:val="nil"/>
              <w:right w:val="single" w:sz="4" w:space="0" w:color="95B3D7"/>
            </w:tcBorders>
            <w:shd w:val="clear" w:color="auto" w:fill="auto"/>
            <w:noWrap/>
            <w:vAlign w:val="bottom"/>
            <w:hideMark/>
          </w:tcPr>
          <w:p w14:paraId="7C63C2C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3.651,00</w:t>
            </w:r>
          </w:p>
        </w:tc>
        <w:tc>
          <w:tcPr>
            <w:tcW w:w="667" w:type="pct"/>
            <w:tcBorders>
              <w:top w:val="nil"/>
              <w:left w:val="nil"/>
              <w:bottom w:val="nil"/>
              <w:right w:val="nil"/>
            </w:tcBorders>
            <w:shd w:val="clear" w:color="auto" w:fill="auto"/>
            <w:noWrap/>
            <w:vAlign w:val="bottom"/>
            <w:hideMark/>
          </w:tcPr>
          <w:p w14:paraId="1A34A46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3.651,00</w:t>
            </w:r>
          </w:p>
        </w:tc>
        <w:tc>
          <w:tcPr>
            <w:tcW w:w="660" w:type="pct"/>
            <w:tcBorders>
              <w:top w:val="nil"/>
              <w:left w:val="single" w:sz="4" w:space="0" w:color="95B3D7"/>
              <w:bottom w:val="nil"/>
              <w:right w:val="single" w:sz="4" w:space="0" w:color="95B3D7"/>
            </w:tcBorders>
            <w:shd w:val="clear" w:color="auto" w:fill="auto"/>
            <w:noWrap/>
            <w:vAlign w:val="bottom"/>
            <w:hideMark/>
          </w:tcPr>
          <w:p w14:paraId="70933E1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2.699,00</w:t>
            </w:r>
          </w:p>
        </w:tc>
        <w:tc>
          <w:tcPr>
            <w:tcW w:w="563" w:type="pct"/>
            <w:tcBorders>
              <w:top w:val="nil"/>
              <w:left w:val="nil"/>
              <w:bottom w:val="nil"/>
              <w:right w:val="nil"/>
            </w:tcBorders>
            <w:shd w:val="clear" w:color="auto" w:fill="auto"/>
            <w:noWrap/>
            <w:vAlign w:val="bottom"/>
            <w:hideMark/>
          </w:tcPr>
          <w:p w14:paraId="5BC2915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73,92</w:t>
            </w:r>
          </w:p>
        </w:tc>
      </w:tr>
      <w:tr w:rsidR="003A7F68" w:rsidRPr="003A7F68" w14:paraId="3B1180A7"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262E6EF5"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3231 Usluge telefona, pošte i prijevoza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E636F9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92.906,00</w:t>
            </w:r>
          </w:p>
        </w:tc>
        <w:tc>
          <w:tcPr>
            <w:tcW w:w="667" w:type="pct"/>
            <w:tcBorders>
              <w:top w:val="single" w:sz="4" w:space="0" w:color="95B3D7"/>
              <w:left w:val="nil"/>
              <w:bottom w:val="single" w:sz="4" w:space="0" w:color="95B3D7"/>
              <w:right w:val="nil"/>
            </w:tcBorders>
            <w:shd w:val="clear" w:color="auto" w:fill="auto"/>
            <w:noWrap/>
            <w:vAlign w:val="bottom"/>
            <w:hideMark/>
          </w:tcPr>
          <w:p w14:paraId="27BDC63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83.906,00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66AAA5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84.037,53</w:t>
            </w:r>
          </w:p>
        </w:tc>
        <w:tc>
          <w:tcPr>
            <w:tcW w:w="563" w:type="pct"/>
            <w:tcBorders>
              <w:top w:val="single" w:sz="4" w:space="0" w:color="95B3D7"/>
              <w:left w:val="nil"/>
              <w:bottom w:val="single" w:sz="4" w:space="0" w:color="95B3D7"/>
              <w:right w:val="nil"/>
            </w:tcBorders>
            <w:shd w:val="clear" w:color="auto" w:fill="auto"/>
            <w:noWrap/>
            <w:vAlign w:val="bottom"/>
            <w:hideMark/>
          </w:tcPr>
          <w:p w14:paraId="35167EF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100,16</w:t>
            </w:r>
          </w:p>
        </w:tc>
      </w:tr>
      <w:tr w:rsidR="003A7F68" w:rsidRPr="003A7F68" w14:paraId="0C89B967" w14:textId="77777777" w:rsidTr="003A7F68">
        <w:trPr>
          <w:trHeight w:val="300"/>
        </w:trPr>
        <w:tc>
          <w:tcPr>
            <w:tcW w:w="2450" w:type="pct"/>
            <w:tcBorders>
              <w:top w:val="nil"/>
              <w:left w:val="nil"/>
              <w:bottom w:val="nil"/>
              <w:right w:val="nil"/>
            </w:tcBorders>
            <w:shd w:val="clear" w:color="auto" w:fill="auto"/>
            <w:vAlign w:val="bottom"/>
            <w:hideMark/>
          </w:tcPr>
          <w:p w14:paraId="43123E90"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3232 Usluge tekućeg i investicijskog </w:t>
            </w:r>
          </w:p>
          <w:p w14:paraId="298165FA" w14:textId="0FD6EB6C"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održavanja</w:t>
            </w:r>
          </w:p>
        </w:tc>
        <w:tc>
          <w:tcPr>
            <w:tcW w:w="660" w:type="pct"/>
            <w:tcBorders>
              <w:top w:val="nil"/>
              <w:left w:val="single" w:sz="4" w:space="0" w:color="95B3D7"/>
              <w:bottom w:val="nil"/>
              <w:right w:val="single" w:sz="4" w:space="0" w:color="95B3D7"/>
            </w:tcBorders>
            <w:shd w:val="clear" w:color="auto" w:fill="auto"/>
            <w:noWrap/>
            <w:vAlign w:val="bottom"/>
            <w:hideMark/>
          </w:tcPr>
          <w:p w14:paraId="6432037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172.924,00</w:t>
            </w:r>
          </w:p>
        </w:tc>
        <w:tc>
          <w:tcPr>
            <w:tcW w:w="667" w:type="pct"/>
            <w:tcBorders>
              <w:top w:val="nil"/>
              <w:left w:val="nil"/>
              <w:bottom w:val="nil"/>
              <w:right w:val="nil"/>
            </w:tcBorders>
            <w:shd w:val="clear" w:color="auto" w:fill="auto"/>
            <w:noWrap/>
            <w:vAlign w:val="bottom"/>
            <w:hideMark/>
          </w:tcPr>
          <w:p w14:paraId="6DBB7EF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102.924,00</w:t>
            </w:r>
          </w:p>
        </w:tc>
        <w:tc>
          <w:tcPr>
            <w:tcW w:w="660" w:type="pct"/>
            <w:tcBorders>
              <w:top w:val="nil"/>
              <w:left w:val="single" w:sz="4" w:space="0" w:color="95B3D7"/>
              <w:bottom w:val="nil"/>
              <w:right w:val="single" w:sz="4" w:space="0" w:color="95B3D7"/>
            </w:tcBorders>
            <w:shd w:val="clear" w:color="auto" w:fill="auto"/>
            <w:noWrap/>
            <w:vAlign w:val="bottom"/>
            <w:hideMark/>
          </w:tcPr>
          <w:p w14:paraId="4D028CF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95.107,53</w:t>
            </w:r>
          </w:p>
        </w:tc>
        <w:tc>
          <w:tcPr>
            <w:tcW w:w="563" w:type="pct"/>
            <w:tcBorders>
              <w:top w:val="nil"/>
              <w:left w:val="nil"/>
              <w:bottom w:val="nil"/>
              <w:right w:val="nil"/>
            </w:tcBorders>
            <w:shd w:val="clear" w:color="auto" w:fill="auto"/>
            <w:noWrap/>
            <w:vAlign w:val="bottom"/>
            <w:hideMark/>
          </w:tcPr>
          <w:p w14:paraId="75E5D0D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92,41</w:t>
            </w:r>
          </w:p>
        </w:tc>
      </w:tr>
      <w:tr w:rsidR="003A7F68" w:rsidRPr="003A7F68" w14:paraId="2FF1693A"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1A9A4A1C"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3233 Usluge promidžbe i informiranja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C19D5A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7.964,00</w:t>
            </w:r>
          </w:p>
        </w:tc>
        <w:tc>
          <w:tcPr>
            <w:tcW w:w="667" w:type="pct"/>
            <w:tcBorders>
              <w:top w:val="single" w:sz="4" w:space="0" w:color="95B3D7"/>
              <w:left w:val="nil"/>
              <w:bottom w:val="single" w:sz="4" w:space="0" w:color="95B3D7"/>
              <w:right w:val="nil"/>
            </w:tcBorders>
            <w:shd w:val="clear" w:color="auto" w:fill="auto"/>
            <w:noWrap/>
            <w:vAlign w:val="bottom"/>
            <w:hideMark/>
          </w:tcPr>
          <w:p w14:paraId="762684C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7.964,00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EC135C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7.294,57</w:t>
            </w:r>
          </w:p>
        </w:tc>
        <w:tc>
          <w:tcPr>
            <w:tcW w:w="563" w:type="pct"/>
            <w:tcBorders>
              <w:top w:val="single" w:sz="4" w:space="0" w:color="95B3D7"/>
              <w:left w:val="nil"/>
              <w:bottom w:val="single" w:sz="4" w:space="0" w:color="95B3D7"/>
              <w:right w:val="nil"/>
            </w:tcBorders>
            <w:shd w:val="clear" w:color="auto" w:fill="auto"/>
            <w:noWrap/>
            <w:vAlign w:val="bottom"/>
            <w:hideMark/>
          </w:tcPr>
          <w:p w14:paraId="153867C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91,59</w:t>
            </w:r>
          </w:p>
        </w:tc>
      </w:tr>
      <w:tr w:rsidR="003A7F68" w:rsidRPr="003A7F68" w14:paraId="42CAC412" w14:textId="77777777" w:rsidTr="003A7F68">
        <w:trPr>
          <w:trHeight w:val="300"/>
        </w:trPr>
        <w:tc>
          <w:tcPr>
            <w:tcW w:w="2450" w:type="pct"/>
            <w:tcBorders>
              <w:top w:val="nil"/>
              <w:left w:val="nil"/>
              <w:bottom w:val="nil"/>
              <w:right w:val="nil"/>
            </w:tcBorders>
            <w:shd w:val="clear" w:color="auto" w:fill="auto"/>
            <w:vAlign w:val="bottom"/>
            <w:hideMark/>
          </w:tcPr>
          <w:p w14:paraId="5B5E9130"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3234 Komunalne usluge</w:t>
            </w:r>
          </w:p>
        </w:tc>
        <w:tc>
          <w:tcPr>
            <w:tcW w:w="660" w:type="pct"/>
            <w:tcBorders>
              <w:top w:val="nil"/>
              <w:left w:val="single" w:sz="4" w:space="0" w:color="95B3D7"/>
              <w:bottom w:val="nil"/>
              <w:right w:val="single" w:sz="4" w:space="0" w:color="95B3D7"/>
            </w:tcBorders>
            <w:shd w:val="clear" w:color="auto" w:fill="auto"/>
            <w:noWrap/>
            <w:vAlign w:val="bottom"/>
            <w:hideMark/>
          </w:tcPr>
          <w:p w14:paraId="55F4C45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53.089,00</w:t>
            </w:r>
          </w:p>
        </w:tc>
        <w:tc>
          <w:tcPr>
            <w:tcW w:w="667" w:type="pct"/>
            <w:tcBorders>
              <w:top w:val="nil"/>
              <w:left w:val="nil"/>
              <w:bottom w:val="nil"/>
              <w:right w:val="nil"/>
            </w:tcBorders>
            <w:shd w:val="clear" w:color="auto" w:fill="auto"/>
            <w:noWrap/>
            <w:vAlign w:val="bottom"/>
            <w:hideMark/>
          </w:tcPr>
          <w:p w14:paraId="2A1D18A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53.089,00</w:t>
            </w:r>
          </w:p>
        </w:tc>
        <w:tc>
          <w:tcPr>
            <w:tcW w:w="660" w:type="pct"/>
            <w:tcBorders>
              <w:top w:val="nil"/>
              <w:left w:val="single" w:sz="4" w:space="0" w:color="95B3D7"/>
              <w:bottom w:val="nil"/>
              <w:right w:val="single" w:sz="4" w:space="0" w:color="95B3D7"/>
            </w:tcBorders>
            <w:shd w:val="clear" w:color="auto" w:fill="auto"/>
            <w:noWrap/>
            <w:vAlign w:val="bottom"/>
            <w:hideMark/>
          </w:tcPr>
          <w:p w14:paraId="3947400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52.137,66</w:t>
            </w:r>
          </w:p>
        </w:tc>
        <w:tc>
          <w:tcPr>
            <w:tcW w:w="563" w:type="pct"/>
            <w:tcBorders>
              <w:top w:val="nil"/>
              <w:left w:val="nil"/>
              <w:bottom w:val="nil"/>
              <w:right w:val="nil"/>
            </w:tcBorders>
            <w:shd w:val="clear" w:color="auto" w:fill="auto"/>
            <w:noWrap/>
            <w:vAlign w:val="bottom"/>
            <w:hideMark/>
          </w:tcPr>
          <w:p w14:paraId="7D6FBDA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98,21</w:t>
            </w:r>
          </w:p>
        </w:tc>
      </w:tr>
      <w:tr w:rsidR="003A7F68" w:rsidRPr="003A7F68" w14:paraId="41F9DF6D"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7D0C6AB"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lastRenderedPageBreak/>
              <w:t>3235 Zakupnine i najamnine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F62900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211.605,00</w:t>
            </w:r>
          </w:p>
        </w:tc>
        <w:tc>
          <w:tcPr>
            <w:tcW w:w="667" w:type="pct"/>
            <w:tcBorders>
              <w:top w:val="single" w:sz="4" w:space="0" w:color="95B3D7"/>
              <w:left w:val="nil"/>
              <w:bottom w:val="single" w:sz="4" w:space="0" w:color="95B3D7"/>
              <w:right w:val="nil"/>
            </w:tcBorders>
            <w:shd w:val="clear" w:color="auto" w:fill="auto"/>
            <w:noWrap/>
            <w:vAlign w:val="bottom"/>
            <w:hideMark/>
          </w:tcPr>
          <w:p w14:paraId="233CF50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211.605,00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48FD64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200.414,01</w:t>
            </w:r>
          </w:p>
        </w:tc>
        <w:tc>
          <w:tcPr>
            <w:tcW w:w="563" w:type="pct"/>
            <w:tcBorders>
              <w:top w:val="single" w:sz="4" w:space="0" w:color="95B3D7"/>
              <w:left w:val="nil"/>
              <w:bottom w:val="single" w:sz="4" w:space="0" w:color="95B3D7"/>
              <w:right w:val="nil"/>
            </w:tcBorders>
            <w:shd w:val="clear" w:color="auto" w:fill="auto"/>
            <w:noWrap/>
            <w:vAlign w:val="bottom"/>
            <w:hideMark/>
          </w:tcPr>
          <w:p w14:paraId="4D1BE3A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94,71</w:t>
            </w:r>
          </w:p>
        </w:tc>
      </w:tr>
      <w:tr w:rsidR="003A7F68" w:rsidRPr="003A7F68" w14:paraId="4466B6E9" w14:textId="77777777" w:rsidTr="003A7F68">
        <w:trPr>
          <w:trHeight w:val="300"/>
        </w:trPr>
        <w:tc>
          <w:tcPr>
            <w:tcW w:w="2450" w:type="pct"/>
            <w:tcBorders>
              <w:top w:val="nil"/>
              <w:left w:val="nil"/>
              <w:bottom w:val="nil"/>
              <w:right w:val="nil"/>
            </w:tcBorders>
            <w:shd w:val="clear" w:color="auto" w:fill="auto"/>
            <w:vAlign w:val="bottom"/>
            <w:hideMark/>
          </w:tcPr>
          <w:p w14:paraId="29FD3D4E"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3236 Zdravstvene i veterinarske usluge</w:t>
            </w:r>
          </w:p>
        </w:tc>
        <w:tc>
          <w:tcPr>
            <w:tcW w:w="660" w:type="pct"/>
            <w:tcBorders>
              <w:top w:val="nil"/>
              <w:left w:val="single" w:sz="4" w:space="0" w:color="95B3D7"/>
              <w:bottom w:val="nil"/>
              <w:right w:val="single" w:sz="4" w:space="0" w:color="95B3D7"/>
            </w:tcBorders>
            <w:shd w:val="clear" w:color="auto" w:fill="auto"/>
            <w:noWrap/>
            <w:vAlign w:val="bottom"/>
            <w:hideMark/>
          </w:tcPr>
          <w:p w14:paraId="7325919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26.651,00</w:t>
            </w:r>
          </w:p>
        </w:tc>
        <w:tc>
          <w:tcPr>
            <w:tcW w:w="667" w:type="pct"/>
            <w:tcBorders>
              <w:top w:val="nil"/>
              <w:left w:val="nil"/>
              <w:bottom w:val="nil"/>
              <w:right w:val="nil"/>
            </w:tcBorders>
            <w:shd w:val="clear" w:color="auto" w:fill="auto"/>
            <w:noWrap/>
            <w:vAlign w:val="bottom"/>
            <w:hideMark/>
          </w:tcPr>
          <w:p w14:paraId="034FD0F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17.651,00</w:t>
            </w:r>
          </w:p>
        </w:tc>
        <w:tc>
          <w:tcPr>
            <w:tcW w:w="660" w:type="pct"/>
            <w:tcBorders>
              <w:top w:val="nil"/>
              <w:left w:val="single" w:sz="4" w:space="0" w:color="95B3D7"/>
              <w:bottom w:val="nil"/>
              <w:right w:val="single" w:sz="4" w:space="0" w:color="95B3D7"/>
            </w:tcBorders>
            <w:shd w:val="clear" w:color="auto" w:fill="auto"/>
            <w:noWrap/>
            <w:vAlign w:val="bottom"/>
            <w:hideMark/>
          </w:tcPr>
          <w:p w14:paraId="2810255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14.871,29</w:t>
            </w:r>
          </w:p>
        </w:tc>
        <w:tc>
          <w:tcPr>
            <w:tcW w:w="563" w:type="pct"/>
            <w:tcBorders>
              <w:top w:val="nil"/>
              <w:left w:val="nil"/>
              <w:bottom w:val="nil"/>
              <w:right w:val="nil"/>
            </w:tcBorders>
            <w:shd w:val="clear" w:color="auto" w:fill="auto"/>
            <w:noWrap/>
            <w:vAlign w:val="bottom"/>
            <w:hideMark/>
          </w:tcPr>
          <w:p w14:paraId="0E75486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84,25</w:t>
            </w:r>
          </w:p>
        </w:tc>
      </w:tr>
      <w:tr w:rsidR="003A7F68" w:rsidRPr="003A7F68" w14:paraId="1EA5F78F"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3383E448"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3237 Intelektualne i osobne usluge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5D97D9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39.817,00</w:t>
            </w:r>
          </w:p>
        </w:tc>
        <w:tc>
          <w:tcPr>
            <w:tcW w:w="667" w:type="pct"/>
            <w:tcBorders>
              <w:top w:val="single" w:sz="4" w:space="0" w:color="95B3D7"/>
              <w:left w:val="nil"/>
              <w:bottom w:val="single" w:sz="4" w:space="0" w:color="95B3D7"/>
              <w:right w:val="nil"/>
            </w:tcBorders>
            <w:shd w:val="clear" w:color="auto" w:fill="auto"/>
            <w:noWrap/>
            <w:vAlign w:val="bottom"/>
            <w:hideMark/>
          </w:tcPr>
          <w:p w14:paraId="63B4D99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29.817,00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C0D0CE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27.745,48</w:t>
            </w:r>
          </w:p>
        </w:tc>
        <w:tc>
          <w:tcPr>
            <w:tcW w:w="563" w:type="pct"/>
            <w:tcBorders>
              <w:top w:val="single" w:sz="4" w:space="0" w:color="95B3D7"/>
              <w:left w:val="nil"/>
              <w:bottom w:val="single" w:sz="4" w:space="0" w:color="95B3D7"/>
              <w:right w:val="nil"/>
            </w:tcBorders>
            <w:shd w:val="clear" w:color="auto" w:fill="auto"/>
            <w:noWrap/>
            <w:vAlign w:val="bottom"/>
            <w:hideMark/>
          </w:tcPr>
          <w:p w14:paraId="0BB44AC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93,05</w:t>
            </w:r>
          </w:p>
        </w:tc>
      </w:tr>
      <w:tr w:rsidR="003A7F68" w:rsidRPr="003A7F68" w14:paraId="142FA2E4" w14:textId="77777777" w:rsidTr="003A7F68">
        <w:trPr>
          <w:trHeight w:val="300"/>
        </w:trPr>
        <w:tc>
          <w:tcPr>
            <w:tcW w:w="2450" w:type="pct"/>
            <w:tcBorders>
              <w:top w:val="nil"/>
              <w:left w:val="nil"/>
              <w:bottom w:val="nil"/>
              <w:right w:val="nil"/>
            </w:tcBorders>
            <w:shd w:val="clear" w:color="auto" w:fill="auto"/>
            <w:vAlign w:val="bottom"/>
            <w:hideMark/>
          </w:tcPr>
          <w:p w14:paraId="6016EA0F"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3239 Ostale usluge</w:t>
            </w:r>
          </w:p>
        </w:tc>
        <w:tc>
          <w:tcPr>
            <w:tcW w:w="660" w:type="pct"/>
            <w:tcBorders>
              <w:top w:val="nil"/>
              <w:left w:val="single" w:sz="4" w:space="0" w:color="95B3D7"/>
              <w:bottom w:val="nil"/>
              <w:right w:val="single" w:sz="4" w:space="0" w:color="95B3D7"/>
            </w:tcBorders>
            <w:shd w:val="clear" w:color="auto" w:fill="auto"/>
            <w:noWrap/>
            <w:vAlign w:val="bottom"/>
            <w:hideMark/>
          </w:tcPr>
          <w:p w14:paraId="6A1E3BB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180.995,00</w:t>
            </w:r>
          </w:p>
        </w:tc>
        <w:tc>
          <w:tcPr>
            <w:tcW w:w="667" w:type="pct"/>
            <w:tcBorders>
              <w:top w:val="nil"/>
              <w:left w:val="nil"/>
              <w:bottom w:val="nil"/>
              <w:right w:val="nil"/>
            </w:tcBorders>
            <w:shd w:val="clear" w:color="auto" w:fill="auto"/>
            <w:noWrap/>
            <w:vAlign w:val="bottom"/>
            <w:hideMark/>
          </w:tcPr>
          <w:p w14:paraId="24E65F8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180.995,00</w:t>
            </w:r>
          </w:p>
        </w:tc>
        <w:tc>
          <w:tcPr>
            <w:tcW w:w="660" w:type="pct"/>
            <w:tcBorders>
              <w:top w:val="nil"/>
              <w:left w:val="single" w:sz="4" w:space="0" w:color="95B3D7"/>
              <w:bottom w:val="nil"/>
              <w:right w:val="single" w:sz="4" w:space="0" w:color="95B3D7"/>
            </w:tcBorders>
            <w:shd w:val="clear" w:color="auto" w:fill="auto"/>
            <w:noWrap/>
            <w:vAlign w:val="bottom"/>
            <w:hideMark/>
          </w:tcPr>
          <w:p w14:paraId="34ECB6A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179.116,81</w:t>
            </w:r>
          </w:p>
        </w:tc>
        <w:tc>
          <w:tcPr>
            <w:tcW w:w="563" w:type="pct"/>
            <w:tcBorders>
              <w:top w:val="nil"/>
              <w:left w:val="nil"/>
              <w:bottom w:val="nil"/>
              <w:right w:val="nil"/>
            </w:tcBorders>
            <w:shd w:val="clear" w:color="auto" w:fill="auto"/>
            <w:noWrap/>
            <w:vAlign w:val="bottom"/>
            <w:hideMark/>
          </w:tcPr>
          <w:p w14:paraId="78273BD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98,96</w:t>
            </w:r>
          </w:p>
        </w:tc>
      </w:tr>
      <w:tr w:rsidR="003A7F68" w:rsidRPr="003A7F68" w14:paraId="1D1E4249" w14:textId="77777777" w:rsidTr="003A7F68">
        <w:trPr>
          <w:trHeight w:val="495"/>
        </w:trPr>
        <w:tc>
          <w:tcPr>
            <w:tcW w:w="2450" w:type="pct"/>
            <w:tcBorders>
              <w:top w:val="single" w:sz="4" w:space="0" w:color="95B3D7"/>
              <w:left w:val="nil"/>
              <w:bottom w:val="single" w:sz="4" w:space="0" w:color="95B3D7"/>
              <w:right w:val="nil"/>
            </w:tcBorders>
            <w:shd w:val="clear" w:color="auto" w:fill="auto"/>
            <w:vAlign w:val="bottom"/>
            <w:hideMark/>
          </w:tcPr>
          <w:p w14:paraId="4A683C73"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3291 Naknade za rad predstavničkih i </w:t>
            </w:r>
          </w:p>
          <w:p w14:paraId="0288BB01" w14:textId="75B20B4B"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izvršnih tijela, povjerenstava i slično</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27AD55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19.908,00</w:t>
            </w:r>
          </w:p>
        </w:tc>
        <w:tc>
          <w:tcPr>
            <w:tcW w:w="667" w:type="pct"/>
            <w:tcBorders>
              <w:top w:val="single" w:sz="4" w:space="0" w:color="95B3D7"/>
              <w:left w:val="nil"/>
              <w:bottom w:val="single" w:sz="4" w:space="0" w:color="95B3D7"/>
              <w:right w:val="nil"/>
            </w:tcBorders>
            <w:shd w:val="clear" w:color="auto" w:fill="auto"/>
            <w:noWrap/>
            <w:vAlign w:val="bottom"/>
            <w:hideMark/>
          </w:tcPr>
          <w:p w14:paraId="4D57BC2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19.908,00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9DB236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19.324,08</w:t>
            </w:r>
          </w:p>
        </w:tc>
        <w:tc>
          <w:tcPr>
            <w:tcW w:w="563" w:type="pct"/>
            <w:tcBorders>
              <w:top w:val="single" w:sz="4" w:space="0" w:color="95B3D7"/>
              <w:left w:val="nil"/>
              <w:bottom w:val="single" w:sz="4" w:space="0" w:color="95B3D7"/>
              <w:right w:val="nil"/>
            </w:tcBorders>
            <w:shd w:val="clear" w:color="auto" w:fill="auto"/>
            <w:noWrap/>
            <w:vAlign w:val="bottom"/>
            <w:hideMark/>
          </w:tcPr>
          <w:p w14:paraId="26EAE9F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97,07</w:t>
            </w:r>
          </w:p>
        </w:tc>
      </w:tr>
      <w:tr w:rsidR="003A7F68" w:rsidRPr="003A7F68" w14:paraId="783263FA" w14:textId="77777777" w:rsidTr="003A7F68">
        <w:trPr>
          <w:trHeight w:val="300"/>
        </w:trPr>
        <w:tc>
          <w:tcPr>
            <w:tcW w:w="2450" w:type="pct"/>
            <w:tcBorders>
              <w:top w:val="nil"/>
              <w:left w:val="nil"/>
              <w:bottom w:val="nil"/>
              <w:right w:val="nil"/>
            </w:tcBorders>
            <w:shd w:val="clear" w:color="auto" w:fill="auto"/>
            <w:vAlign w:val="bottom"/>
            <w:hideMark/>
          </w:tcPr>
          <w:p w14:paraId="2CE19BAD"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3292 Premije osiguranja</w:t>
            </w:r>
          </w:p>
        </w:tc>
        <w:tc>
          <w:tcPr>
            <w:tcW w:w="660" w:type="pct"/>
            <w:tcBorders>
              <w:top w:val="nil"/>
              <w:left w:val="single" w:sz="4" w:space="0" w:color="95B3D7"/>
              <w:bottom w:val="nil"/>
              <w:right w:val="single" w:sz="4" w:space="0" w:color="95B3D7"/>
            </w:tcBorders>
            <w:shd w:val="clear" w:color="auto" w:fill="auto"/>
            <w:noWrap/>
            <w:vAlign w:val="bottom"/>
            <w:hideMark/>
          </w:tcPr>
          <w:p w14:paraId="661DF55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2.655,00</w:t>
            </w:r>
          </w:p>
        </w:tc>
        <w:tc>
          <w:tcPr>
            <w:tcW w:w="667" w:type="pct"/>
            <w:tcBorders>
              <w:top w:val="nil"/>
              <w:left w:val="nil"/>
              <w:bottom w:val="nil"/>
              <w:right w:val="nil"/>
            </w:tcBorders>
            <w:shd w:val="clear" w:color="auto" w:fill="auto"/>
            <w:noWrap/>
            <w:vAlign w:val="bottom"/>
            <w:hideMark/>
          </w:tcPr>
          <w:p w14:paraId="26590A7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655,00</w:t>
            </w:r>
          </w:p>
        </w:tc>
        <w:tc>
          <w:tcPr>
            <w:tcW w:w="660" w:type="pct"/>
            <w:tcBorders>
              <w:top w:val="nil"/>
              <w:left w:val="single" w:sz="4" w:space="0" w:color="95B3D7"/>
              <w:bottom w:val="nil"/>
              <w:right w:val="single" w:sz="4" w:space="0" w:color="95B3D7"/>
            </w:tcBorders>
            <w:shd w:val="clear" w:color="auto" w:fill="auto"/>
            <w:noWrap/>
            <w:vAlign w:val="bottom"/>
            <w:hideMark/>
          </w:tcPr>
          <w:p w14:paraId="40F3D34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624,55</w:t>
            </w:r>
          </w:p>
        </w:tc>
        <w:tc>
          <w:tcPr>
            <w:tcW w:w="563" w:type="pct"/>
            <w:tcBorders>
              <w:top w:val="nil"/>
              <w:left w:val="nil"/>
              <w:bottom w:val="nil"/>
              <w:right w:val="nil"/>
            </w:tcBorders>
            <w:shd w:val="clear" w:color="auto" w:fill="auto"/>
            <w:noWrap/>
            <w:vAlign w:val="bottom"/>
            <w:hideMark/>
          </w:tcPr>
          <w:p w14:paraId="64FDD07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95,35</w:t>
            </w:r>
          </w:p>
        </w:tc>
      </w:tr>
      <w:tr w:rsidR="003A7F68" w:rsidRPr="003A7F68" w14:paraId="64ABBC1B"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4032615C"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3293 Reprezentacija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7CDE3D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21.600,00</w:t>
            </w:r>
          </w:p>
        </w:tc>
        <w:tc>
          <w:tcPr>
            <w:tcW w:w="667" w:type="pct"/>
            <w:tcBorders>
              <w:top w:val="single" w:sz="4" w:space="0" w:color="95B3D7"/>
              <w:left w:val="nil"/>
              <w:bottom w:val="single" w:sz="4" w:space="0" w:color="95B3D7"/>
              <w:right w:val="nil"/>
            </w:tcBorders>
            <w:shd w:val="clear" w:color="auto" w:fill="auto"/>
            <w:noWrap/>
            <w:vAlign w:val="bottom"/>
            <w:hideMark/>
          </w:tcPr>
          <w:p w14:paraId="60AB35C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21.600,00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33BF33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22.071,93</w:t>
            </w:r>
          </w:p>
        </w:tc>
        <w:tc>
          <w:tcPr>
            <w:tcW w:w="563" w:type="pct"/>
            <w:tcBorders>
              <w:top w:val="single" w:sz="4" w:space="0" w:color="95B3D7"/>
              <w:left w:val="nil"/>
              <w:bottom w:val="single" w:sz="4" w:space="0" w:color="95B3D7"/>
              <w:right w:val="nil"/>
            </w:tcBorders>
            <w:shd w:val="clear" w:color="auto" w:fill="auto"/>
            <w:noWrap/>
            <w:vAlign w:val="bottom"/>
            <w:hideMark/>
          </w:tcPr>
          <w:p w14:paraId="4DEEFEA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102,18</w:t>
            </w:r>
          </w:p>
        </w:tc>
      </w:tr>
      <w:tr w:rsidR="003A7F68" w:rsidRPr="003A7F68" w14:paraId="425C8F9D" w14:textId="77777777" w:rsidTr="003A7F68">
        <w:trPr>
          <w:trHeight w:val="300"/>
        </w:trPr>
        <w:tc>
          <w:tcPr>
            <w:tcW w:w="2450" w:type="pct"/>
            <w:tcBorders>
              <w:top w:val="nil"/>
              <w:left w:val="nil"/>
              <w:bottom w:val="nil"/>
              <w:right w:val="nil"/>
            </w:tcBorders>
            <w:shd w:val="clear" w:color="auto" w:fill="auto"/>
            <w:vAlign w:val="bottom"/>
            <w:hideMark/>
          </w:tcPr>
          <w:p w14:paraId="2B5C528B"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3294 Članarine i norme</w:t>
            </w:r>
          </w:p>
        </w:tc>
        <w:tc>
          <w:tcPr>
            <w:tcW w:w="660" w:type="pct"/>
            <w:tcBorders>
              <w:top w:val="nil"/>
              <w:left w:val="single" w:sz="4" w:space="0" w:color="95B3D7"/>
              <w:bottom w:val="nil"/>
              <w:right w:val="single" w:sz="4" w:space="0" w:color="95B3D7"/>
            </w:tcBorders>
            <w:shd w:val="clear" w:color="auto" w:fill="auto"/>
            <w:noWrap/>
            <w:vAlign w:val="bottom"/>
            <w:hideMark/>
          </w:tcPr>
          <w:p w14:paraId="0FD7663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2.655,00</w:t>
            </w:r>
          </w:p>
        </w:tc>
        <w:tc>
          <w:tcPr>
            <w:tcW w:w="667" w:type="pct"/>
            <w:tcBorders>
              <w:top w:val="nil"/>
              <w:left w:val="nil"/>
              <w:bottom w:val="nil"/>
              <w:right w:val="nil"/>
            </w:tcBorders>
            <w:shd w:val="clear" w:color="auto" w:fill="auto"/>
            <w:noWrap/>
            <w:vAlign w:val="bottom"/>
            <w:hideMark/>
          </w:tcPr>
          <w:p w14:paraId="5578AC3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2.655,00</w:t>
            </w:r>
          </w:p>
        </w:tc>
        <w:tc>
          <w:tcPr>
            <w:tcW w:w="660" w:type="pct"/>
            <w:tcBorders>
              <w:top w:val="nil"/>
              <w:left w:val="single" w:sz="4" w:space="0" w:color="95B3D7"/>
              <w:bottom w:val="nil"/>
              <w:right w:val="single" w:sz="4" w:space="0" w:color="95B3D7"/>
            </w:tcBorders>
            <w:shd w:val="clear" w:color="auto" w:fill="auto"/>
            <w:noWrap/>
            <w:vAlign w:val="bottom"/>
            <w:hideMark/>
          </w:tcPr>
          <w:p w14:paraId="11736CD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2.791,73</w:t>
            </w:r>
          </w:p>
        </w:tc>
        <w:tc>
          <w:tcPr>
            <w:tcW w:w="563" w:type="pct"/>
            <w:tcBorders>
              <w:top w:val="nil"/>
              <w:left w:val="nil"/>
              <w:bottom w:val="nil"/>
              <w:right w:val="nil"/>
            </w:tcBorders>
            <w:shd w:val="clear" w:color="auto" w:fill="auto"/>
            <w:noWrap/>
            <w:vAlign w:val="bottom"/>
            <w:hideMark/>
          </w:tcPr>
          <w:p w14:paraId="1423F43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105,15</w:t>
            </w:r>
          </w:p>
        </w:tc>
      </w:tr>
      <w:tr w:rsidR="003A7F68" w:rsidRPr="003A7F68" w14:paraId="3355DEB8"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3FE4543"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3295 Pristojbe i naknade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CB4034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12.376,00</w:t>
            </w:r>
          </w:p>
        </w:tc>
        <w:tc>
          <w:tcPr>
            <w:tcW w:w="667" w:type="pct"/>
            <w:tcBorders>
              <w:top w:val="single" w:sz="4" w:space="0" w:color="95B3D7"/>
              <w:left w:val="nil"/>
              <w:bottom w:val="single" w:sz="4" w:space="0" w:color="95B3D7"/>
              <w:right w:val="nil"/>
            </w:tcBorders>
            <w:shd w:val="clear" w:color="auto" w:fill="auto"/>
            <w:noWrap/>
            <w:vAlign w:val="bottom"/>
            <w:hideMark/>
          </w:tcPr>
          <w:p w14:paraId="20EE1F2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12.376,00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A2DA76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10.419,08</w:t>
            </w:r>
          </w:p>
        </w:tc>
        <w:tc>
          <w:tcPr>
            <w:tcW w:w="563" w:type="pct"/>
            <w:tcBorders>
              <w:top w:val="single" w:sz="4" w:space="0" w:color="95B3D7"/>
              <w:left w:val="nil"/>
              <w:bottom w:val="single" w:sz="4" w:space="0" w:color="95B3D7"/>
              <w:right w:val="nil"/>
            </w:tcBorders>
            <w:shd w:val="clear" w:color="auto" w:fill="auto"/>
            <w:noWrap/>
            <w:vAlign w:val="bottom"/>
            <w:hideMark/>
          </w:tcPr>
          <w:p w14:paraId="747B256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84,19</w:t>
            </w:r>
          </w:p>
        </w:tc>
      </w:tr>
      <w:tr w:rsidR="003A7F68" w:rsidRPr="003A7F68" w14:paraId="4CA1420B" w14:textId="77777777" w:rsidTr="003A7F68">
        <w:trPr>
          <w:trHeight w:val="300"/>
        </w:trPr>
        <w:tc>
          <w:tcPr>
            <w:tcW w:w="2450" w:type="pct"/>
            <w:tcBorders>
              <w:top w:val="nil"/>
              <w:left w:val="nil"/>
              <w:bottom w:val="nil"/>
              <w:right w:val="nil"/>
            </w:tcBorders>
            <w:shd w:val="clear" w:color="auto" w:fill="auto"/>
            <w:vAlign w:val="bottom"/>
            <w:hideMark/>
          </w:tcPr>
          <w:p w14:paraId="77408796"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3299 Ostali nespomenuti rashodi </w:t>
            </w:r>
          </w:p>
          <w:p w14:paraId="004E02A7" w14:textId="39832573"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poslovanja</w:t>
            </w:r>
          </w:p>
        </w:tc>
        <w:tc>
          <w:tcPr>
            <w:tcW w:w="660" w:type="pct"/>
            <w:tcBorders>
              <w:top w:val="nil"/>
              <w:left w:val="single" w:sz="4" w:space="0" w:color="95B3D7"/>
              <w:bottom w:val="nil"/>
              <w:right w:val="single" w:sz="4" w:space="0" w:color="95B3D7"/>
            </w:tcBorders>
            <w:shd w:val="clear" w:color="auto" w:fill="auto"/>
            <w:noWrap/>
            <w:vAlign w:val="bottom"/>
            <w:hideMark/>
          </w:tcPr>
          <w:p w14:paraId="4BC870E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9.963,00</w:t>
            </w:r>
          </w:p>
        </w:tc>
        <w:tc>
          <w:tcPr>
            <w:tcW w:w="667" w:type="pct"/>
            <w:tcBorders>
              <w:top w:val="nil"/>
              <w:left w:val="nil"/>
              <w:bottom w:val="nil"/>
              <w:right w:val="nil"/>
            </w:tcBorders>
            <w:shd w:val="clear" w:color="auto" w:fill="auto"/>
            <w:noWrap/>
            <w:vAlign w:val="bottom"/>
            <w:hideMark/>
          </w:tcPr>
          <w:p w14:paraId="63A0E6A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9.963,00</w:t>
            </w:r>
          </w:p>
        </w:tc>
        <w:tc>
          <w:tcPr>
            <w:tcW w:w="660" w:type="pct"/>
            <w:tcBorders>
              <w:top w:val="nil"/>
              <w:left w:val="single" w:sz="4" w:space="0" w:color="95B3D7"/>
              <w:bottom w:val="nil"/>
              <w:right w:val="single" w:sz="4" w:space="0" w:color="95B3D7"/>
            </w:tcBorders>
            <w:shd w:val="clear" w:color="auto" w:fill="auto"/>
            <w:noWrap/>
            <w:vAlign w:val="bottom"/>
            <w:hideMark/>
          </w:tcPr>
          <w:p w14:paraId="2EBE540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9.147,97</w:t>
            </w:r>
          </w:p>
        </w:tc>
        <w:tc>
          <w:tcPr>
            <w:tcW w:w="563" w:type="pct"/>
            <w:tcBorders>
              <w:top w:val="nil"/>
              <w:left w:val="nil"/>
              <w:bottom w:val="nil"/>
              <w:right w:val="nil"/>
            </w:tcBorders>
            <w:shd w:val="clear" w:color="auto" w:fill="auto"/>
            <w:noWrap/>
            <w:vAlign w:val="bottom"/>
            <w:hideMark/>
          </w:tcPr>
          <w:p w14:paraId="56A9D6C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91,82</w:t>
            </w:r>
          </w:p>
        </w:tc>
      </w:tr>
      <w:tr w:rsidR="003A7F68" w:rsidRPr="003A7F68" w14:paraId="511E72EE" w14:textId="77777777" w:rsidTr="003A7F68">
        <w:trPr>
          <w:trHeight w:val="495"/>
        </w:trPr>
        <w:tc>
          <w:tcPr>
            <w:tcW w:w="2450" w:type="pct"/>
            <w:tcBorders>
              <w:top w:val="single" w:sz="4" w:space="0" w:color="95B3D7"/>
              <w:left w:val="nil"/>
              <w:bottom w:val="single" w:sz="4" w:space="0" w:color="95B3D7"/>
              <w:right w:val="nil"/>
            </w:tcBorders>
            <w:shd w:val="clear" w:color="000000" w:fill="DCE6F1"/>
            <w:vAlign w:val="bottom"/>
            <w:hideMark/>
          </w:tcPr>
          <w:p w14:paraId="616F9136"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37 Naknade građanima i kućanstvima na temelju osiguranja i druge naknade</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022B01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10.618,00</w:t>
            </w:r>
          </w:p>
        </w:tc>
        <w:tc>
          <w:tcPr>
            <w:tcW w:w="667" w:type="pct"/>
            <w:tcBorders>
              <w:top w:val="single" w:sz="4" w:space="0" w:color="95B3D7"/>
              <w:left w:val="nil"/>
              <w:bottom w:val="single" w:sz="4" w:space="0" w:color="95B3D7"/>
              <w:right w:val="nil"/>
            </w:tcBorders>
            <w:shd w:val="clear" w:color="000000" w:fill="DCE6F1"/>
            <w:noWrap/>
            <w:vAlign w:val="bottom"/>
            <w:hideMark/>
          </w:tcPr>
          <w:p w14:paraId="1DC941C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10.618,00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CED8C0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2.389,01</w:t>
            </w:r>
          </w:p>
        </w:tc>
        <w:tc>
          <w:tcPr>
            <w:tcW w:w="563" w:type="pct"/>
            <w:tcBorders>
              <w:top w:val="single" w:sz="4" w:space="0" w:color="95B3D7"/>
              <w:left w:val="nil"/>
              <w:bottom w:val="single" w:sz="4" w:space="0" w:color="95B3D7"/>
              <w:right w:val="nil"/>
            </w:tcBorders>
            <w:shd w:val="clear" w:color="000000" w:fill="DCE6F1"/>
            <w:noWrap/>
            <w:vAlign w:val="bottom"/>
            <w:hideMark/>
          </w:tcPr>
          <w:p w14:paraId="50225B8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22,50</w:t>
            </w:r>
          </w:p>
        </w:tc>
      </w:tr>
      <w:tr w:rsidR="003A7F68" w:rsidRPr="003A7F68" w14:paraId="7A207628" w14:textId="77777777" w:rsidTr="003A7F68">
        <w:trPr>
          <w:trHeight w:val="300"/>
        </w:trPr>
        <w:tc>
          <w:tcPr>
            <w:tcW w:w="2450" w:type="pct"/>
            <w:tcBorders>
              <w:top w:val="nil"/>
              <w:left w:val="nil"/>
              <w:bottom w:val="nil"/>
              <w:right w:val="nil"/>
            </w:tcBorders>
            <w:shd w:val="clear" w:color="auto" w:fill="auto"/>
            <w:vAlign w:val="bottom"/>
            <w:hideMark/>
          </w:tcPr>
          <w:p w14:paraId="2849C2D3"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3721 Naknade građanima i kućanstvima u </w:t>
            </w:r>
          </w:p>
          <w:p w14:paraId="182BFE56" w14:textId="05D71B94"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novcu</w:t>
            </w:r>
          </w:p>
        </w:tc>
        <w:tc>
          <w:tcPr>
            <w:tcW w:w="660" w:type="pct"/>
            <w:tcBorders>
              <w:top w:val="nil"/>
              <w:left w:val="single" w:sz="4" w:space="0" w:color="95B3D7"/>
              <w:bottom w:val="nil"/>
              <w:right w:val="single" w:sz="4" w:space="0" w:color="95B3D7"/>
            </w:tcBorders>
            <w:shd w:val="clear" w:color="auto" w:fill="auto"/>
            <w:noWrap/>
            <w:vAlign w:val="bottom"/>
            <w:hideMark/>
          </w:tcPr>
          <w:p w14:paraId="6AC8F5F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10.618,00</w:t>
            </w:r>
          </w:p>
        </w:tc>
        <w:tc>
          <w:tcPr>
            <w:tcW w:w="667" w:type="pct"/>
            <w:tcBorders>
              <w:top w:val="nil"/>
              <w:left w:val="nil"/>
              <w:bottom w:val="nil"/>
              <w:right w:val="nil"/>
            </w:tcBorders>
            <w:shd w:val="clear" w:color="auto" w:fill="auto"/>
            <w:noWrap/>
            <w:vAlign w:val="bottom"/>
            <w:hideMark/>
          </w:tcPr>
          <w:p w14:paraId="3A9104E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10.618,00</w:t>
            </w:r>
          </w:p>
        </w:tc>
        <w:tc>
          <w:tcPr>
            <w:tcW w:w="660" w:type="pct"/>
            <w:tcBorders>
              <w:top w:val="nil"/>
              <w:left w:val="single" w:sz="4" w:space="0" w:color="95B3D7"/>
              <w:bottom w:val="nil"/>
              <w:right w:val="single" w:sz="4" w:space="0" w:color="95B3D7"/>
            </w:tcBorders>
            <w:shd w:val="clear" w:color="auto" w:fill="auto"/>
            <w:noWrap/>
            <w:vAlign w:val="bottom"/>
            <w:hideMark/>
          </w:tcPr>
          <w:p w14:paraId="6877169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2.389,01</w:t>
            </w:r>
          </w:p>
        </w:tc>
        <w:tc>
          <w:tcPr>
            <w:tcW w:w="563" w:type="pct"/>
            <w:tcBorders>
              <w:top w:val="nil"/>
              <w:left w:val="nil"/>
              <w:bottom w:val="nil"/>
              <w:right w:val="nil"/>
            </w:tcBorders>
            <w:shd w:val="clear" w:color="auto" w:fill="auto"/>
            <w:noWrap/>
            <w:vAlign w:val="bottom"/>
            <w:hideMark/>
          </w:tcPr>
          <w:p w14:paraId="3BA9BF6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22,50</w:t>
            </w:r>
          </w:p>
        </w:tc>
      </w:tr>
      <w:tr w:rsidR="003A7F68" w:rsidRPr="003A7F68" w14:paraId="1ABD8B2D" w14:textId="77777777" w:rsidTr="003A7F68">
        <w:trPr>
          <w:trHeight w:val="300"/>
        </w:trPr>
        <w:tc>
          <w:tcPr>
            <w:tcW w:w="2450" w:type="pct"/>
            <w:tcBorders>
              <w:top w:val="single" w:sz="4" w:space="0" w:color="95B3D7"/>
              <w:left w:val="nil"/>
              <w:bottom w:val="single" w:sz="4" w:space="0" w:color="95B3D7"/>
              <w:right w:val="nil"/>
            </w:tcBorders>
            <w:shd w:val="clear" w:color="000000" w:fill="DCE6F1"/>
            <w:vAlign w:val="bottom"/>
            <w:hideMark/>
          </w:tcPr>
          <w:p w14:paraId="4A61CF05"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42 Rashodi za nabavu proizvedene dugotrajne imovine</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254FE1A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52.923,00</w:t>
            </w:r>
          </w:p>
        </w:tc>
        <w:tc>
          <w:tcPr>
            <w:tcW w:w="667" w:type="pct"/>
            <w:tcBorders>
              <w:top w:val="single" w:sz="4" w:space="0" w:color="95B3D7"/>
              <w:left w:val="nil"/>
              <w:bottom w:val="single" w:sz="4" w:space="0" w:color="95B3D7"/>
              <w:right w:val="nil"/>
            </w:tcBorders>
            <w:shd w:val="clear" w:color="000000" w:fill="DCE6F1"/>
            <w:noWrap/>
            <w:vAlign w:val="bottom"/>
            <w:hideMark/>
          </w:tcPr>
          <w:p w14:paraId="048FF67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52.923,00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21F0162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51.217,68</w:t>
            </w:r>
          </w:p>
        </w:tc>
        <w:tc>
          <w:tcPr>
            <w:tcW w:w="563" w:type="pct"/>
            <w:tcBorders>
              <w:top w:val="single" w:sz="4" w:space="0" w:color="95B3D7"/>
              <w:left w:val="nil"/>
              <w:bottom w:val="single" w:sz="4" w:space="0" w:color="95B3D7"/>
              <w:right w:val="nil"/>
            </w:tcBorders>
            <w:shd w:val="clear" w:color="000000" w:fill="DCE6F1"/>
            <w:noWrap/>
            <w:vAlign w:val="bottom"/>
            <w:hideMark/>
          </w:tcPr>
          <w:p w14:paraId="128F33A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96,78</w:t>
            </w:r>
          </w:p>
        </w:tc>
      </w:tr>
      <w:tr w:rsidR="003A7F68" w:rsidRPr="003A7F68" w14:paraId="571DC78E" w14:textId="77777777" w:rsidTr="003A7F68">
        <w:trPr>
          <w:trHeight w:val="300"/>
        </w:trPr>
        <w:tc>
          <w:tcPr>
            <w:tcW w:w="2450" w:type="pct"/>
            <w:tcBorders>
              <w:top w:val="nil"/>
              <w:left w:val="nil"/>
              <w:bottom w:val="nil"/>
              <w:right w:val="nil"/>
            </w:tcBorders>
            <w:shd w:val="clear" w:color="auto" w:fill="auto"/>
            <w:vAlign w:val="bottom"/>
            <w:hideMark/>
          </w:tcPr>
          <w:p w14:paraId="7490FA56"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4221 Uredska oprema i namještaj</w:t>
            </w:r>
          </w:p>
        </w:tc>
        <w:tc>
          <w:tcPr>
            <w:tcW w:w="660" w:type="pct"/>
            <w:tcBorders>
              <w:top w:val="nil"/>
              <w:left w:val="single" w:sz="4" w:space="0" w:color="95B3D7"/>
              <w:bottom w:val="nil"/>
              <w:right w:val="single" w:sz="4" w:space="0" w:color="95B3D7"/>
            </w:tcBorders>
            <w:shd w:val="clear" w:color="auto" w:fill="auto"/>
            <w:noWrap/>
            <w:vAlign w:val="bottom"/>
            <w:hideMark/>
          </w:tcPr>
          <w:p w14:paraId="78E0AFE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24.542,00</w:t>
            </w:r>
          </w:p>
        </w:tc>
        <w:tc>
          <w:tcPr>
            <w:tcW w:w="667" w:type="pct"/>
            <w:tcBorders>
              <w:top w:val="nil"/>
              <w:left w:val="nil"/>
              <w:bottom w:val="nil"/>
              <w:right w:val="nil"/>
            </w:tcBorders>
            <w:shd w:val="clear" w:color="auto" w:fill="auto"/>
            <w:noWrap/>
            <w:vAlign w:val="bottom"/>
            <w:hideMark/>
          </w:tcPr>
          <w:p w14:paraId="5EC8F1B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24.542,00</w:t>
            </w:r>
          </w:p>
        </w:tc>
        <w:tc>
          <w:tcPr>
            <w:tcW w:w="660" w:type="pct"/>
            <w:tcBorders>
              <w:top w:val="nil"/>
              <w:left w:val="single" w:sz="4" w:space="0" w:color="95B3D7"/>
              <w:bottom w:val="nil"/>
              <w:right w:val="single" w:sz="4" w:space="0" w:color="95B3D7"/>
            </w:tcBorders>
            <w:shd w:val="clear" w:color="auto" w:fill="auto"/>
            <w:noWrap/>
            <w:vAlign w:val="bottom"/>
            <w:hideMark/>
          </w:tcPr>
          <w:p w14:paraId="5DEE716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18.420,91</w:t>
            </w:r>
          </w:p>
        </w:tc>
        <w:tc>
          <w:tcPr>
            <w:tcW w:w="563" w:type="pct"/>
            <w:tcBorders>
              <w:top w:val="nil"/>
              <w:left w:val="nil"/>
              <w:bottom w:val="nil"/>
              <w:right w:val="nil"/>
            </w:tcBorders>
            <w:shd w:val="clear" w:color="auto" w:fill="auto"/>
            <w:noWrap/>
            <w:vAlign w:val="bottom"/>
            <w:hideMark/>
          </w:tcPr>
          <w:p w14:paraId="1F81F19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75,06</w:t>
            </w:r>
          </w:p>
        </w:tc>
      </w:tr>
      <w:tr w:rsidR="003A7F68" w:rsidRPr="003A7F68" w14:paraId="5E19E469"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2C7D780A"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4222 Komunikacijska oprema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472EF3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6.636,00</w:t>
            </w:r>
          </w:p>
        </w:tc>
        <w:tc>
          <w:tcPr>
            <w:tcW w:w="667" w:type="pct"/>
            <w:tcBorders>
              <w:top w:val="single" w:sz="4" w:space="0" w:color="95B3D7"/>
              <w:left w:val="nil"/>
              <w:bottom w:val="single" w:sz="4" w:space="0" w:color="95B3D7"/>
              <w:right w:val="nil"/>
            </w:tcBorders>
            <w:shd w:val="clear" w:color="auto" w:fill="auto"/>
            <w:noWrap/>
            <w:vAlign w:val="bottom"/>
            <w:hideMark/>
          </w:tcPr>
          <w:p w14:paraId="2850448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6.636,00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A61112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6.311,50</w:t>
            </w:r>
          </w:p>
        </w:tc>
        <w:tc>
          <w:tcPr>
            <w:tcW w:w="563" w:type="pct"/>
            <w:tcBorders>
              <w:top w:val="single" w:sz="4" w:space="0" w:color="95B3D7"/>
              <w:left w:val="nil"/>
              <w:bottom w:val="single" w:sz="4" w:space="0" w:color="95B3D7"/>
              <w:right w:val="nil"/>
            </w:tcBorders>
            <w:shd w:val="clear" w:color="auto" w:fill="auto"/>
            <w:noWrap/>
            <w:vAlign w:val="bottom"/>
            <w:hideMark/>
          </w:tcPr>
          <w:p w14:paraId="68DC14E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95,11</w:t>
            </w:r>
          </w:p>
        </w:tc>
      </w:tr>
      <w:tr w:rsidR="003A7F68" w:rsidRPr="003A7F68" w14:paraId="71D1C247" w14:textId="77777777" w:rsidTr="003A7F68">
        <w:trPr>
          <w:trHeight w:val="300"/>
        </w:trPr>
        <w:tc>
          <w:tcPr>
            <w:tcW w:w="2450" w:type="pct"/>
            <w:tcBorders>
              <w:top w:val="nil"/>
              <w:left w:val="nil"/>
              <w:bottom w:val="nil"/>
              <w:right w:val="nil"/>
            </w:tcBorders>
            <w:shd w:val="clear" w:color="auto" w:fill="auto"/>
            <w:vAlign w:val="bottom"/>
            <w:hideMark/>
          </w:tcPr>
          <w:p w14:paraId="225C86D5"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4223 Oprema za održavanje i zaštitu</w:t>
            </w:r>
          </w:p>
        </w:tc>
        <w:tc>
          <w:tcPr>
            <w:tcW w:w="660" w:type="pct"/>
            <w:tcBorders>
              <w:top w:val="nil"/>
              <w:left w:val="single" w:sz="4" w:space="0" w:color="95B3D7"/>
              <w:bottom w:val="nil"/>
              <w:right w:val="single" w:sz="4" w:space="0" w:color="95B3D7"/>
            </w:tcBorders>
            <w:shd w:val="clear" w:color="auto" w:fill="auto"/>
            <w:noWrap/>
            <w:vAlign w:val="bottom"/>
            <w:hideMark/>
          </w:tcPr>
          <w:p w14:paraId="52AD686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21.745,00</w:t>
            </w:r>
          </w:p>
        </w:tc>
        <w:tc>
          <w:tcPr>
            <w:tcW w:w="667" w:type="pct"/>
            <w:tcBorders>
              <w:top w:val="nil"/>
              <w:left w:val="nil"/>
              <w:bottom w:val="nil"/>
              <w:right w:val="nil"/>
            </w:tcBorders>
            <w:shd w:val="clear" w:color="auto" w:fill="auto"/>
            <w:noWrap/>
            <w:vAlign w:val="bottom"/>
            <w:hideMark/>
          </w:tcPr>
          <w:p w14:paraId="618C0FA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21.745,00</w:t>
            </w:r>
          </w:p>
        </w:tc>
        <w:tc>
          <w:tcPr>
            <w:tcW w:w="660" w:type="pct"/>
            <w:tcBorders>
              <w:top w:val="nil"/>
              <w:left w:val="single" w:sz="4" w:space="0" w:color="95B3D7"/>
              <w:bottom w:val="nil"/>
              <w:right w:val="single" w:sz="4" w:space="0" w:color="95B3D7"/>
            </w:tcBorders>
            <w:shd w:val="clear" w:color="auto" w:fill="auto"/>
            <w:noWrap/>
            <w:vAlign w:val="bottom"/>
            <w:hideMark/>
          </w:tcPr>
          <w:p w14:paraId="5540CB9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26.485,27</w:t>
            </w:r>
          </w:p>
        </w:tc>
        <w:tc>
          <w:tcPr>
            <w:tcW w:w="563" w:type="pct"/>
            <w:tcBorders>
              <w:top w:val="nil"/>
              <w:left w:val="nil"/>
              <w:bottom w:val="nil"/>
              <w:right w:val="nil"/>
            </w:tcBorders>
            <w:shd w:val="clear" w:color="auto" w:fill="auto"/>
            <w:noWrap/>
            <w:vAlign w:val="bottom"/>
            <w:hideMark/>
          </w:tcPr>
          <w:p w14:paraId="31CF1E7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121,80</w:t>
            </w:r>
          </w:p>
        </w:tc>
      </w:tr>
      <w:tr w:rsidR="003A7F68" w:rsidRPr="003A7F68" w14:paraId="38522671" w14:textId="77777777" w:rsidTr="003A7F68">
        <w:trPr>
          <w:trHeight w:val="300"/>
        </w:trPr>
        <w:tc>
          <w:tcPr>
            <w:tcW w:w="2450" w:type="pct"/>
            <w:tcBorders>
              <w:top w:val="single" w:sz="4" w:space="0" w:color="95B3D7"/>
              <w:left w:val="nil"/>
              <w:bottom w:val="single" w:sz="4" w:space="0" w:color="95B3D7"/>
              <w:right w:val="nil"/>
            </w:tcBorders>
            <w:shd w:val="clear" w:color="000000" w:fill="DCE6F1"/>
            <w:vAlign w:val="bottom"/>
            <w:hideMark/>
          </w:tcPr>
          <w:p w14:paraId="17171D53"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45 Rashodi za dodatna ulaganja na nefinancijskoj imovini</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CCCB29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2.668.268,00</w:t>
            </w:r>
          </w:p>
        </w:tc>
        <w:tc>
          <w:tcPr>
            <w:tcW w:w="667" w:type="pct"/>
            <w:tcBorders>
              <w:top w:val="single" w:sz="4" w:space="0" w:color="95B3D7"/>
              <w:left w:val="nil"/>
              <w:bottom w:val="single" w:sz="4" w:space="0" w:color="95B3D7"/>
              <w:right w:val="nil"/>
            </w:tcBorders>
            <w:shd w:val="clear" w:color="000000" w:fill="DCE6F1"/>
            <w:noWrap/>
            <w:vAlign w:val="bottom"/>
            <w:hideMark/>
          </w:tcPr>
          <w:p w14:paraId="03ED63D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362.855,00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51B0BB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361.496,28</w:t>
            </w:r>
          </w:p>
        </w:tc>
        <w:tc>
          <w:tcPr>
            <w:tcW w:w="563" w:type="pct"/>
            <w:tcBorders>
              <w:top w:val="single" w:sz="4" w:space="0" w:color="95B3D7"/>
              <w:left w:val="nil"/>
              <w:bottom w:val="single" w:sz="4" w:space="0" w:color="95B3D7"/>
              <w:right w:val="nil"/>
            </w:tcBorders>
            <w:shd w:val="clear" w:color="000000" w:fill="DCE6F1"/>
            <w:noWrap/>
            <w:vAlign w:val="bottom"/>
            <w:hideMark/>
          </w:tcPr>
          <w:p w14:paraId="399C32B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99,63</w:t>
            </w:r>
          </w:p>
        </w:tc>
      </w:tr>
      <w:tr w:rsidR="003A7F68" w:rsidRPr="003A7F68" w14:paraId="4BD087F5" w14:textId="77777777" w:rsidTr="003A7F68">
        <w:trPr>
          <w:trHeight w:val="300"/>
        </w:trPr>
        <w:tc>
          <w:tcPr>
            <w:tcW w:w="2450" w:type="pct"/>
            <w:tcBorders>
              <w:top w:val="nil"/>
              <w:left w:val="nil"/>
              <w:bottom w:val="nil"/>
              <w:right w:val="nil"/>
            </w:tcBorders>
            <w:shd w:val="clear" w:color="auto" w:fill="auto"/>
            <w:vAlign w:val="bottom"/>
            <w:hideMark/>
          </w:tcPr>
          <w:p w14:paraId="7BA61CA8"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4511 Dodatna ulaganja na građevinskim </w:t>
            </w:r>
          </w:p>
          <w:p w14:paraId="42998AFA" w14:textId="20371179"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objektima</w:t>
            </w:r>
          </w:p>
        </w:tc>
        <w:tc>
          <w:tcPr>
            <w:tcW w:w="660" w:type="pct"/>
            <w:tcBorders>
              <w:top w:val="nil"/>
              <w:left w:val="single" w:sz="4" w:space="0" w:color="95B3D7"/>
              <w:bottom w:val="nil"/>
              <w:right w:val="single" w:sz="4" w:space="0" w:color="95B3D7"/>
            </w:tcBorders>
            <w:shd w:val="clear" w:color="auto" w:fill="auto"/>
            <w:noWrap/>
            <w:vAlign w:val="bottom"/>
            <w:hideMark/>
          </w:tcPr>
          <w:p w14:paraId="17756F1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2.668.268,00</w:t>
            </w:r>
          </w:p>
        </w:tc>
        <w:tc>
          <w:tcPr>
            <w:tcW w:w="667" w:type="pct"/>
            <w:tcBorders>
              <w:top w:val="nil"/>
              <w:left w:val="nil"/>
              <w:bottom w:val="nil"/>
              <w:right w:val="nil"/>
            </w:tcBorders>
            <w:shd w:val="clear" w:color="auto" w:fill="auto"/>
            <w:noWrap/>
            <w:vAlign w:val="bottom"/>
            <w:hideMark/>
          </w:tcPr>
          <w:p w14:paraId="0F32954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362.855,00</w:t>
            </w:r>
          </w:p>
        </w:tc>
        <w:tc>
          <w:tcPr>
            <w:tcW w:w="660" w:type="pct"/>
            <w:tcBorders>
              <w:top w:val="nil"/>
              <w:left w:val="single" w:sz="4" w:space="0" w:color="95B3D7"/>
              <w:bottom w:val="nil"/>
              <w:right w:val="single" w:sz="4" w:space="0" w:color="95B3D7"/>
            </w:tcBorders>
            <w:shd w:val="clear" w:color="auto" w:fill="auto"/>
            <w:noWrap/>
            <w:vAlign w:val="bottom"/>
            <w:hideMark/>
          </w:tcPr>
          <w:p w14:paraId="22957DD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361.496,28</w:t>
            </w:r>
          </w:p>
        </w:tc>
        <w:tc>
          <w:tcPr>
            <w:tcW w:w="563" w:type="pct"/>
            <w:tcBorders>
              <w:top w:val="nil"/>
              <w:left w:val="nil"/>
              <w:bottom w:val="nil"/>
              <w:right w:val="nil"/>
            </w:tcBorders>
            <w:shd w:val="clear" w:color="auto" w:fill="auto"/>
            <w:noWrap/>
            <w:vAlign w:val="bottom"/>
            <w:hideMark/>
          </w:tcPr>
          <w:p w14:paraId="5C08772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99,63</w:t>
            </w:r>
          </w:p>
        </w:tc>
      </w:tr>
      <w:tr w:rsidR="003A7F68" w:rsidRPr="003A7F68" w14:paraId="015D0CDD" w14:textId="77777777" w:rsidTr="003A7F68">
        <w:trPr>
          <w:trHeight w:val="300"/>
        </w:trPr>
        <w:tc>
          <w:tcPr>
            <w:tcW w:w="2450" w:type="pct"/>
            <w:tcBorders>
              <w:top w:val="single" w:sz="4" w:space="0" w:color="95B3D7"/>
              <w:left w:val="nil"/>
              <w:bottom w:val="single" w:sz="4" w:space="0" w:color="95B3D7"/>
              <w:right w:val="nil"/>
            </w:tcBorders>
            <w:shd w:val="clear" w:color="000000" w:fill="CCC0DA"/>
            <w:vAlign w:val="bottom"/>
            <w:hideMark/>
          </w:tcPr>
          <w:p w14:paraId="19FCABF5"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31 VLASTITI PRIHODI</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0D5D835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199.212,00</w:t>
            </w:r>
          </w:p>
        </w:tc>
        <w:tc>
          <w:tcPr>
            <w:tcW w:w="667" w:type="pct"/>
            <w:tcBorders>
              <w:top w:val="single" w:sz="4" w:space="0" w:color="95B3D7"/>
              <w:left w:val="nil"/>
              <w:bottom w:val="single" w:sz="4" w:space="0" w:color="95B3D7"/>
              <w:right w:val="nil"/>
            </w:tcBorders>
            <w:shd w:val="clear" w:color="000000" w:fill="CCC0DA"/>
            <w:noWrap/>
            <w:vAlign w:val="bottom"/>
            <w:hideMark/>
          </w:tcPr>
          <w:p w14:paraId="57844FF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199.212,00</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09FC626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134.458,08</w:t>
            </w:r>
          </w:p>
        </w:tc>
        <w:tc>
          <w:tcPr>
            <w:tcW w:w="563" w:type="pct"/>
            <w:tcBorders>
              <w:top w:val="single" w:sz="4" w:space="0" w:color="95B3D7"/>
              <w:left w:val="nil"/>
              <w:bottom w:val="single" w:sz="4" w:space="0" w:color="95B3D7"/>
              <w:right w:val="nil"/>
            </w:tcBorders>
            <w:shd w:val="clear" w:color="000000" w:fill="CCC0DA"/>
            <w:noWrap/>
            <w:vAlign w:val="bottom"/>
            <w:hideMark/>
          </w:tcPr>
          <w:p w14:paraId="3258526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67,49</w:t>
            </w:r>
          </w:p>
        </w:tc>
      </w:tr>
      <w:tr w:rsidR="003A7F68" w:rsidRPr="003A7F68" w14:paraId="07F845B3" w14:textId="77777777" w:rsidTr="003A7F68">
        <w:trPr>
          <w:trHeight w:val="300"/>
        </w:trPr>
        <w:tc>
          <w:tcPr>
            <w:tcW w:w="2450" w:type="pct"/>
            <w:tcBorders>
              <w:top w:val="nil"/>
              <w:left w:val="nil"/>
              <w:bottom w:val="nil"/>
              <w:right w:val="nil"/>
            </w:tcBorders>
            <w:shd w:val="clear" w:color="auto" w:fill="auto"/>
            <w:vAlign w:val="bottom"/>
            <w:hideMark/>
          </w:tcPr>
          <w:p w14:paraId="69C3218C" w14:textId="77777777" w:rsidR="003A7F68" w:rsidRPr="003A7F68" w:rsidRDefault="003A7F68" w:rsidP="003A7F68">
            <w:pPr>
              <w:widowControl/>
              <w:autoSpaceDE/>
              <w:autoSpaceDN/>
              <w:adjustRightInd/>
              <w:ind w:firstLineChars="600" w:firstLine="1080"/>
              <w:jc w:val="left"/>
              <w:rPr>
                <w:rFonts w:ascii="Calibri" w:hAnsi="Calibri"/>
                <w:color w:val="000000"/>
                <w:sz w:val="18"/>
                <w:szCs w:val="18"/>
              </w:rPr>
            </w:pPr>
            <w:r w:rsidRPr="003A7F68">
              <w:rPr>
                <w:rFonts w:ascii="Calibri" w:hAnsi="Calibri"/>
                <w:color w:val="000000"/>
                <w:sz w:val="18"/>
                <w:szCs w:val="18"/>
              </w:rPr>
              <w:t>31 Rashodi za zaposlene</w:t>
            </w:r>
          </w:p>
        </w:tc>
        <w:tc>
          <w:tcPr>
            <w:tcW w:w="660" w:type="pct"/>
            <w:tcBorders>
              <w:top w:val="nil"/>
              <w:left w:val="single" w:sz="4" w:space="0" w:color="95B3D7"/>
              <w:bottom w:val="nil"/>
              <w:right w:val="single" w:sz="4" w:space="0" w:color="95B3D7"/>
            </w:tcBorders>
            <w:shd w:val="clear" w:color="auto" w:fill="auto"/>
            <w:noWrap/>
            <w:vAlign w:val="bottom"/>
            <w:hideMark/>
          </w:tcPr>
          <w:p w14:paraId="7DEAD89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667" w:type="pct"/>
            <w:tcBorders>
              <w:top w:val="nil"/>
              <w:left w:val="nil"/>
              <w:bottom w:val="nil"/>
              <w:right w:val="nil"/>
            </w:tcBorders>
            <w:shd w:val="clear" w:color="auto" w:fill="auto"/>
            <w:noWrap/>
            <w:vAlign w:val="bottom"/>
            <w:hideMark/>
          </w:tcPr>
          <w:p w14:paraId="3584114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660" w:type="pct"/>
            <w:tcBorders>
              <w:top w:val="nil"/>
              <w:left w:val="single" w:sz="4" w:space="0" w:color="95B3D7"/>
              <w:bottom w:val="nil"/>
              <w:right w:val="single" w:sz="4" w:space="0" w:color="95B3D7"/>
            </w:tcBorders>
            <w:shd w:val="clear" w:color="auto" w:fill="auto"/>
            <w:noWrap/>
            <w:vAlign w:val="bottom"/>
            <w:hideMark/>
          </w:tcPr>
          <w:p w14:paraId="269733A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563" w:type="pct"/>
            <w:tcBorders>
              <w:top w:val="nil"/>
              <w:left w:val="nil"/>
              <w:bottom w:val="nil"/>
              <w:right w:val="nil"/>
            </w:tcBorders>
            <w:shd w:val="clear" w:color="auto" w:fill="auto"/>
            <w:noWrap/>
            <w:vAlign w:val="bottom"/>
            <w:hideMark/>
          </w:tcPr>
          <w:p w14:paraId="11A527E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100,00</w:t>
            </w:r>
          </w:p>
        </w:tc>
      </w:tr>
      <w:tr w:rsidR="003A7F68" w:rsidRPr="003A7F68" w14:paraId="7B792D4C"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5A969EC5"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3121 Ostali rashodi za zaposlene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F55D4F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667" w:type="pct"/>
            <w:tcBorders>
              <w:top w:val="single" w:sz="4" w:space="0" w:color="95B3D7"/>
              <w:left w:val="nil"/>
              <w:bottom w:val="single" w:sz="4" w:space="0" w:color="95B3D7"/>
              <w:right w:val="nil"/>
            </w:tcBorders>
            <w:shd w:val="clear" w:color="auto" w:fill="auto"/>
            <w:noWrap/>
            <w:vAlign w:val="bottom"/>
            <w:hideMark/>
          </w:tcPr>
          <w:p w14:paraId="7AD8DD8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CB85CC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39.300,00</w:t>
            </w:r>
          </w:p>
        </w:tc>
        <w:tc>
          <w:tcPr>
            <w:tcW w:w="563" w:type="pct"/>
            <w:tcBorders>
              <w:top w:val="single" w:sz="4" w:space="0" w:color="95B3D7"/>
              <w:left w:val="nil"/>
              <w:bottom w:val="single" w:sz="4" w:space="0" w:color="95B3D7"/>
              <w:right w:val="nil"/>
            </w:tcBorders>
            <w:shd w:val="clear" w:color="auto" w:fill="auto"/>
            <w:noWrap/>
            <w:vAlign w:val="bottom"/>
            <w:hideMark/>
          </w:tcPr>
          <w:p w14:paraId="77CC80E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100,00</w:t>
            </w:r>
          </w:p>
        </w:tc>
      </w:tr>
      <w:tr w:rsidR="003A7F68" w:rsidRPr="003A7F68" w14:paraId="61232353" w14:textId="77777777" w:rsidTr="003A7F68">
        <w:trPr>
          <w:trHeight w:val="300"/>
        </w:trPr>
        <w:tc>
          <w:tcPr>
            <w:tcW w:w="2450" w:type="pct"/>
            <w:tcBorders>
              <w:top w:val="nil"/>
              <w:left w:val="nil"/>
              <w:bottom w:val="nil"/>
              <w:right w:val="nil"/>
            </w:tcBorders>
            <w:shd w:val="clear" w:color="000000" w:fill="DCE6F1"/>
            <w:vAlign w:val="bottom"/>
            <w:hideMark/>
          </w:tcPr>
          <w:p w14:paraId="72CBBCA9"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32 Materijalni rashodi</w:t>
            </w:r>
          </w:p>
        </w:tc>
        <w:tc>
          <w:tcPr>
            <w:tcW w:w="660" w:type="pct"/>
            <w:tcBorders>
              <w:top w:val="nil"/>
              <w:left w:val="single" w:sz="4" w:space="0" w:color="95B3D7"/>
              <w:bottom w:val="nil"/>
              <w:right w:val="single" w:sz="4" w:space="0" w:color="95B3D7"/>
            </w:tcBorders>
            <w:shd w:val="clear" w:color="000000" w:fill="DCE6F1"/>
            <w:noWrap/>
            <w:vAlign w:val="bottom"/>
            <w:hideMark/>
          </w:tcPr>
          <w:p w14:paraId="0D11899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159.912,00</w:t>
            </w:r>
          </w:p>
        </w:tc>
        <w:tc>
          <w:tcPr>
            <w:tcW w:w="667" w:type="pct"/>
            <w:tcBorders>
              <w:top w:val="nil"/>
              <w:left w:val="nil"/>
              <w:bottom w:val="nil"/>
              <w:right w:val="nil"/>
            </w:tcBorders>
            <w:shd w:val="clear" w:color="000000" w:fill="DCE6F1"/>
            <w:noWrap/>
            <w:vAlign w:val="bottom"/>
            <w:hideMark/>
          </w:tcPr>
          <w:p w14:paraId="74D7685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159.912,00</w:t>
            </w:r>
          </w:p>
        </w:tc>
        <w:tc>
          <w:tcPr>
            <w:tcW w:w="660" w:type="pct"/>
            <w:tcBorders>
              <w:top w:val="nil"/>
              <w:left w:val="single" w:sz="4" w:space="0" w:color="95B3D7"/>
              <w:bottom w:val="nil"/>
              <w:right w:val="single" w:sz="4" w:space="0" w:color="95B3D7"/>
            </w:tcBorders>
            <w:shd w:val="clear" w:color="000000" w:fill="DCE6F1"/>
            <w:noWrap/>
            <w:vAlign w:val="bottom"/>
            <w:hideMark/>
          </w:tcPr>
          <w:p w14:paraId="06CB150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95.158,08</w:t>
            </w:r>
          </w:p>
        </w:tc>
        <w:tc>
          <w:tcPr>
            <w:tcW w:w="563" w:type="pct"/>
            <w:tcBorders>
              <w:top w:val="nil"/>
              <w:left w:val="nil"/>
              <w:bottom w:val="nil"/>
              <w:right w:val="nil"/>
            </w:tcBorders>
            <w:shd w:val="clear" w:color="000000" w:fill="DCE6F1"/>
            <w:noWrap/>
            <w:vAlign w:val="bottom"/>
            <w:hideMark/>
          </w:tcPr>
          <w:p w14:paraId="37F22FD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59,51</w:t>
            </w:r>
          </w:p>
        </w:tc>
      </w:tr>
      <w:tr w:rsidR="003A7F68" w:rsidRPr="003A7F68" w14:paraId="341D5001"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1C0F1287"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3211 Službena putovanja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94683B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63.440,00</w:t>
            </w:r>
          </w:p>
        </w:tc>
        <w:tc>
          <w:tcPr>
            <w:tcW w:w="667" w:type="pct"/>
            <w:tcBorders>
              <w:top w:val="single" w:sz="4" w:space="0" w:color="95B3D7"/>
              <w:left w:val="nil"/>
              <w:bottom w:val="single" w:sz="4" w:space="0" w:color="95B3D7"/>
              <w:right w:val="nil"/>
            </w:tcBorders>
            <w:shd w:val="clear" w:color="auto" w:fill="auto"/>
            <w:noWrap/>
            <w:vAlign w:val="bottom"/>
            <w:hideMark/>
          </w:tcPr>
          <w:p w14:paraId="7136A4B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63.440,00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85A000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41.048,27</w:t>
            </w:r>
          </w:p>
        </w:tc>
        <w:tc>
          <w:tcPr>
            <w:tcW w:w="563" w:type="pct"/>
            <w:tcBorders>
              <w:top w:val="single" w:sz="4" w:space="0" w:color="95B3D7"/>
              <w:left w:val="nil"/>
              <w:bottom w:val="single" w:sz="4" w:space="0" w:color="95B3D7"/>
              <w:right w:val="nil"/>
            </w:tcBorders>
            <w:shd w:val="clear" w:color="auto" w:fill="auto"/>
            <w:noWrap/>
            <w:vAlign w:val="bottom"/>
            <w:hideMark/>
          </w:tcPr>
          <w:p w14:paraId="0FBF2C9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64,70</w:t>
            </w:r>
          </w:p>
        </w:tc>
      </w:tr>
      <w:tr w:rsidR="003A7F68" w:rsidRPr="003A7F68" w14:paraId="17EB203A" w14:textId="77777777" w:rsidTr="003A7F68">
        <w:trPr>
          <w:trHeight w:val="300"/>
        </w:trPr>
        <w:tc>
          <w:tcPr>
            <w:tcW w:w="2450" w:type="pct"/>
            <w:tcBorders>
              <w:top w:val="nil"/>
              <w:left w:val="nil"/>
              <w:bottom w:val="nil"/>
              <w:right w:val="nil"/>
            </w:tcBorders>
            <w:shd w:val="clear" w:color="auto" w:fill="auto"/>
            <w:vAlign w:val="bottom"/>
            <w:hideMark/>
          </w:tcPr>
          <w:p w14:paraId="6392F8F9"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3231 Usluge telefona, pošte i prijevoza</w:t>
            </w:r>
          </w:p>
        </w:tc>
        <w:tc>
          <w:tcPr>
            <w:tcW w:w="660" w:type="pct"/>
            <w:tcBorders>
              <w:top w:val="nil"/>
              <w:left w:val="single" w:sz="4" w:space="0" w:color="95B3D7"/>
              <w:bottom w:val="nil"/>
              <w:right w:val="single" w:sz="4" w:space="0" w:color="95B3D7"/>
            </w:tcBorders>
            <w:shd w:val="clear" w:color="auto" w:fill="auto"/>
            <w:noWrap/>
            <w:vAlign w:val="bottom"/>
            <w:hideMark/>
          </w:tcPr>
          <w:p w14:paraId="186654A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30.000,00</w:t>
            </w:r>
          </w:p>
        </w:tc>
        <w:tc>
          <w:tcPr>
            <w:tcW w:w="667" w:type="pct"/>
            <w:tcBorders>
              <w:top w:val="nil"/>
              <w:left w:val="nil"/>
              <w:bottom w:val="nil"/>
              <w:right w:val="nil"/>
            </w:tcBorders>
            <w:shd w:val="clear" w:color="auto" w:fill="auto"/>
            <w:noWrap/>
            <w:vAlign w:val="bottom"/>
            <w:hideMark/>
          </w:tcPr>
          <w:p w14:paraId="28CA6F9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30.000,00</w:t>
            </w:r>
          </w:p>
        </w:tc>
        <w:tc>
          <w:tcPr>
            <w:tcW w:w="660" w:type="pct"/>
            <w:tcBorders>
              <w:top w:val="nil"/>
              <w:left w:val="single" w:sz="4" w:space="0" w:color="95B3D7"/>
              <w:bottom w:val="nil"/>
              <w:right w:val="single" w:sz="4" w:space="0" w:color="95B3D7"/>
            </w:tcBorders>
            <w:shd w:val="clear" w:color="auto" w:fill="auto"/>
            <w:noWrap/>
            <w:vAlign w:val="bottom"/>
            <w:hideMark/>
          </w:tcPr>
          <w:p w14:paraId="79280DC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16.195,00</w:t>
            </w:r>
          </w:p>
        </w:tc>
        <w:tc>
          <w:tcPr>
            <w:tcW w:w="563" w:type="pct"/>
            <w:tcBorders>
              <w:top w:val="nil"/>
              <w:left w:val="nil"/>
              <w:bottom w:val="nil"/>
              <w:right w:val="nil"/>
            </w:tcBorders>
            <w:shd w:val="clear" w:color="auto" w:fill="auto"/>
            <w:noWrap/>
            <w:vAlign w:val="bottom"/>
            <w:hideMark/>
          </w:tcPr>
          <w:p w14:paraId="10A4A8C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53,98</w:t>
            </w:r>
          </w:p>
        </w:tc>
      </w:tr>
      <w:tr w:rsidR="003A7F68" w:rsidRPr="003A7F68" w14:paraId="1FDB8EAB"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32400D50"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3237 Intelektualne i osobne usluge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E4B916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26.472,00</w:t>
            </w:r>
          </w:p>
        </w:tc>
        <w:tc>
          <w:tcPr>
            <w:tcW w:w="667" w:type="pct"/>
            <w:tcBorders>
              <w:top w:val="single" w:sz="4" w:space="0" w:color="95B3D7"/>
              <w:left w:val="nil"/>
              <w:bottom w:val="single" w:sz="4" w:space="0" w:color="95B3D7"/>
              <w:right w:val="nil"/>
            </w:tcBorders>
            <w:shd w:val="clear" w:color="auto" w:fill="auto"/>
            <w:noWrap/>
            <w:vAlign w:val="bottom"/>
            <w:hideMark/>
          </w:tcPr>
          <w:p w14:paraId="1415E00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26.472,00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63F5A0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8.392,31</w:t>
            </w:r>
          </w:p>
        </w:tc>
        <w:tc>
          <w:tcPr>
            <w:tcW w:w="563" w:type="pct"/>
            <w:tcBorders>
              <w:top w:val="single" w:sz="4" w:space="0" w:color="95B3D7"/>
              <w:left w:val="nil"/>
              <w:bottom w:val="single" w:sz="4" w:space="0" w:color="95B3D7"/>
              <w:right w:val="nil"/>
            </w:tcBorders>
            <w:shd w:val="clear" w:color="auto" w:fill="auto"/>
            <w:noWrap/>
            <w:vAlign w:val="bottom"/>
            <w:hideMark/>
          </w:tcPr>
          <w:p w14:paraId="676EC72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31,70</w:t>
            </w:r>
          </w:p>
        </w:tc>
      </w:tr>
      <w:tr w:rsidR="003A7F68" w:rsidRPr="003A7F68" w14:paraId="656489B4" w14:textId="77777777" w:rsidTr="003A7F68">
        <w:trPr>
          <w:trHeight w:val="300"/>
        </w:trPr>
        <w:tc>
          <w:tcPr>
            <w:tcW w:w="2450" w:type="pct"/>
            <w:tcBorders>
              <w:top w:val="nil"/>
              <w:left w:val="nil"/>
              <w:bottom w:val="nil"/>
              <w:right w:val="nil"/>
            </w:tcBorders>
            <w:shd w:val="clear" w:color="auto" w:fill="auto"/>
            <w:vAlign w:val="bottom"/>
            <w:hideMark/>
          </w:tcPr>
          <w:p w14:paraId="44FD0BFD"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3293 Reprezentacija</w:t>
            </w:r>
          </w:p>
        </w:tc>
        <w:tc>
          <w:tcPr>
            <w:tcW w:w="660" w:type="pct"/>
            <w:tcBorders>
              <w:top w:val="nil"/>
              <w:left w:val="single" w:sz="4" w:space="0" w:color="95B3D7"/>
              <w:bottom w:val="nil"/>
              <w:right w:val="single" w:sz="4" w:space="0" w:color="95B3D7"/>
            </w:tcBorders>
            <w:shd w:val="clear" w:color="auto" w:fill="auto"/>
            <w:noWrap/>
            <w:vAlign w:val="bottom"/>
            <w:hideMark/>
          </w:tcPr>
          <w:p w14:paraId="3AC1C8E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40.000,00</w:t>
            </w:r>
          </w:p>
        </w:tc>
        <w:tc>
          <w:tcPr>
            <w:tcW w:w="667" w:type="pct"/>
            <w:tcBorders>
              <w:top w:val="nil"/>
              <w:left w:val="nil"/>
              <w:bottom w:val="nil"/>
              <w:right w:val="nil"/>
            </w:tcBorders>
            <w:shd w:val="clear" w:color="auto" w:fill="auto"/>
            <w:noWrap/>
            <w:vAlign w:val="bottom"/>
            <w:hideMark/>
          </w:tcPr>
          <w:p w14:paraId="3744C6D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40.000,00</w:t>
            </w:r>
          </w:p>
        </w:tc>
        <w:tc>
          <w:tcPr>
            <w:tcW w:w="660" w:type="pct"/>
            <w:tcBorders>
              <w:top w:val="nil"/>
              <w:left w:val="single" w:sz="4" w:space="0" w:color="95B3D7"/>
              <w:bottom w:val="nil"/>
              <w:right w:val="single" w:sz="4" w:space="0" w:color="95B3D7"/>
            </w:tcBorders>
            <w:shd w:val="clear" w:color="auto" w:fill="auto"/>
            <w:noWrap/>
            <w:vAlign w:val="bottom"/>
            <w:hideMark/>
          </w:tcPr>
          <w:p w14:paraId="648C20A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29.522,50</w:t>
            </w:r>
          </w:p>
        </w:tc>
        <w:tc>
          <w:tcPr>
            <w:tcW w:w="563" w:type="pct"/>
            <w:tcBorders>
              <w:top w:val="nil"/>
              <w:left w:val="nil"/>
              <w:bottom w:val="nil"/>
              <w:right w:val="nil"/>
            </w:tcBorders>
            <w:shd w:val="clear" w:color="auto" w:fill="auto"/>
            <w:noWrap/>
            <w:vAlign w:val="bottom"/>
            <w:hideMark/>
          </w:tcPr>
          <w:p w14:paraId="6ECDB9F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73,81</w:t>
            </w:r>
          </w:p>
        </w:tc>
      </w:tr>
      <w:tr w:rsidR="003A7F68" w:rsidRPr="003A7F68" w14:paraId="09179AE4" w14:textId="77777777" w:rsidTr="003A7F68">
        <w:trPr>
          <w:trHeight w:val="300"/>
        </w:trPr>
        <w:tc>
          <w:tcPr>
            <w:tcW w:w="2450" w:type="pct"/>
            <w:tcBorders>
              <w:top w:val="single" w:sz="4" w:space="0" w:color="95B3D7"/>
              <w:left w:val="nil"/>
              <w:bottom w:val="single" w:sz="4" w:space="0" w:color="95B3D7"/>
              <w:right w:val="nil"/>
            </w:tcBorders>
            <w:shd w:val="clear" w:color="000000" w:fill="CCC0DA"/>
            <w:vAlign w:val="bottom"/>
            <w:hideMark/>
          </w:tcPr>
          <w:p w14:paraId="5D03AF28"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5761 FOND SOLIDARNOSTI EU - potres ožujak 2020.</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7163798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918.207,00</w:t>
            </w:r>
          </w:p>
        </w:tc>
        <w:tc>
          <w:tcPr>
            <w:tcW w:w="667" w:type="pct"/>
            <w:tcBorders>
              <w:top w:val="single" w:sz="4" w:space="0" w:color="95B3D7"/>
              <w:left w:val="nil"/>
              <w:bottom w:val="single" w:sz="4" w:space="0" w:color="95B3D7"/>
              <w:right w:val="nil"/>
            </w:tcBorders>
            <w:shd w:val="clear" w:color="000000" w:fill="CCC0DA"/>
            <w:noWrap/>
            <w:vAlign w:val="bottom"/>
            <w:hideMark/>
          </w:tcPr>
          <w:p w14:paraId="103A34B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357.798,00</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24062AE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357.716,99</w:t>
            </w:r>
          </w:p>
        </w:tc>
        <w:tc>
          <w:tcPr>
            <w:tcW w:w="563" w:type="pct"/>
            <w:tcBorders>
              <w:top w:val="single" w:sz="4" w:space="0" w:color="95B3D7"/>
              <w:left w:val="nil"/>
              <w:bottom w:val="single" w:sz="4" w:space="0" w:color="95B3D7"/>
              <w:right w:val="nil"/>
            </w:tcBorders>
            <w:shd w:val="clear" w:color="000000" w:fill="CCC0DA"/>
            <w:noWrap/>
            <w:vAlign w:val="bottom"/>
            <w:hideMark/>
          </w:tcPr>
          <w:p w14:paraId="1BA7A2A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99,98</w:t>
            </w:r>
          </w:p>
        </w:tc>
      </w:tr>
      <w:tr w:rsidR="003A7F68" w:rsidRPr="003A7F68" w14:paraId="7005FDB4" w14:textId="77777777" w:rsidTr="003A7F68">
        <w:trPr>
          <w:trHeight w:val="300"/>
        </w:trPr>
        <w:tc>
          <w:tcPr>
            <w:tcW w:w="2450" w:type="pct"/>
            <w:tcBorders>
              <w:top w:val="nil"/>
              <w:left w:val="nil"/>
              <w:bottom w:val="nil"/>
              <w:right w:val="nil"/>
            </w:tcBorders>
            <w:shd w:val="clear" w:color="000000" w:fill="DCE6F1"/>
            <w:vAlign w:val="bottom"/>
            <w:hideMark/>
          </w:tcPr>
          <w:p w14:paraId="699DD579"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45 Rashodi za dodatna ulaganja na nefinancijskoj imovini</w:t>
            </w:r>
          </w:p>
        </w:tc>
        <w:tc>
          <w:tcPr>
            <w:tcW w:w="660" w:type="pct"/>
            <w:tcBorders>
              <w:top w:val="nil"/>
              <w:left w:val="single" w:sz="4" w:space="0" w:color="95B3D7"/>
              <w:bottom w:val="nil"/>
              <w:right w:val="single" w:sz="4" w:space="0" w:color="95B3D7"/>
            </w:tcBorders>
            <w:shd w:val="clear" w:color="000000" w:fill="DCE6F1"/>
            <w:noWrap/>
            <w:vAlign w:val="bottom"/>
            <w:hideMark/>
          </w:tcPr>
          <w:p w14:paraId="6713691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918.207,00</w:t>
            </w:r>
          </w:p>
        </w:tc>
        <w:tc>
          <w:tcPr>
            <w:tcW w:w="667" w:type="pct"/>
            <w:tcBorders>
              <w:top w:val="nil"/>
              <w:left w:val="nil"/>
              <w:bottom w:val="nil"/>
              <w:right w:val="nil"/>
            </w:tcBorders>
            <w:shd w:val="clear" w:color="000000" w:fill="DCE6F1"/>
            <w:noWrap/>
            <w:vAlign w:val="bottom"/>
            <w:hideMark/>
          </w:tcPr>
          <w:p w14:paraId="6EB33A9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357.798,00</w:t>
            </w:r>
          </w:p>
        </w:tc>
        <w:tc>
          <w:tcPr>
            <w:tcW w:w="660" w:type="pct"/>
            <w:tcBorders>
              <w:top w:val="nil"/>
              <w:left w:val="single" w:sz="4" w:space="0" w:color="95B3D7"/>
              <w:bottom w:val="nil"/>
              <w:right w:val="single" w:sz="4" w:space="0" w:color="95B3D7"/>
            </w:tcBorders>
            <w:shd w:val="clear" w:color="000000" w:fill="DCE6F1"/>
            <w:noWrap/>
            <w:vAlign w:val="bottom"/>
            <w:hideMark/>
          </w:tcPr>
          <w:p w14:paraId="6CDADB1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357.716,99</w:t>
            </w:r>
          </w:p>
        </w:tc>
        <w:tc>
          <w:tcPr>
            <w:tcW w:w="563" w:type="pct"/>
            <w:tcBorders>
              <w:top w:val="nil"/>
              <w:left w:val="nil"/>
              <w:bottom w:val="nil"/>
              <w:right w:val="nil"/>
            </w:tcBorders>
            <w:shd w:val="clear" w:color="000000" w:fill="DCE6F1"/>
            <w:noWrap/>
            <w:vAlign w:val="bottom"/>
            <w:hideMark/>
          </w:tcPr>
          <w:p w14:paraId="2314CCE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99,98</w:t>
            </w:r>
          </w:p>
        </w:tc>
      </w:tr>
      <w:tr w:rsidR="003A7F68" w:rsidRPr="003A7F68" w14:paraId="54D6508A"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62ED2187"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4511 Dodatna ulaganja na građevinskim </w:t>
            </w:r>
          </w:p>
          <w:p w14:paraId="30E2D448" w14:textId="1AD7C6AA"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objektima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8F6AB9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918.207,00</w:t>
            </w:r>
          </w:p>
        </w:tc>
        <w:tc>
          <w:tcPr>
            <w:tcW w:w="667" w:type="pct"/>
            <w:tcBorders>
              <w:top w:val="single" w:sz="4" w:space="0" w:color="95B3D7"/>
              <w:left w:val="nil"/>
              <w:bottom w:val="single" w:sz="4" w:space="0" w:color="95B3D7"/>
              <w:right w:val="nil"/>
            </w:tcBorders>
            <w:shd w:val="clear" w:color="auto" w:fill="auto"/>
            <w:noWrap/>
            <w:vAlign w:val="bottom"/>
            <w:hideMark/>
          </w:tcPr>
          <w:p w14:paraId="7A21AD19"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357.798,00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78FA91D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357.716,99</w:t>
            </w:r>
          </w:p>
        </w:tc>
        <w:tc>
          <w:tcPr>
            <w:tcW w:w="563" w:type="pct"/>
            <w:tcBorders>
              <w:top w:val="single" w:sz="4" w:space="0" w:color="95B3D7"/>
              <w:left w:val="nil"/>
              <w:bottom w:val="single" w:sz="4" w:space="0" w:color="95B3D7"/>
              <w:right w:val="nil"/>
            </w:tcBorders>
            <w:shd w:val="clear" w:color="auto" w:fill="auto"/>
            <w:noWrap/>
            <w:vAlign w:val="bottom"/>
            <w:hideMark/>
          </w:tcPr>
          <w:p w14:paraId="3FB9C56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99,98</w:t>
            </w:r>
          </w:p>
        </w:tc>
      </w:tr>
      <w:tr w:rsidR="003A7F68" w:rsidRPr="003A7F68" w14:paraId="2FFF3095" w14:textId="77777777" w:rsidTr="003A7F68">
        <w:trPr>
          <w:trHeight w:val="300"/>
        </w:trPr>
        <w:tc>
          <w:tcPr>
            <w:tcW w:w="2450" w:type="pct"/>
            <w:tcBorders>
              <w:top w:val="nil"/>
              <w:left w:val="nil"/>
              <w:bottom w:val="nil"/>
              <w:right w:val="nil"/>
            </w:tcBorders>
            <w:shd w:val="clear" w:color="000000" w:fill="FABF8F"/>
            <w:vAlign w:val="bottom"/>
            <w:hideMark/>
          </w:tcPr>
          <w:p w14:paraId="3CDC955A" w14:textId="77777777" w:rsidR="003A7F68" w:rsidRPr="003A7F68" w:rsidRDefault="003A7F68" w:rsidP="003A7F68">
            <w:pPr>
              <w:widowControl/>
              <w:autoSpaceDE/>
              <w:autoSpaceDN/>
              <w:adjustRightInd/>
              <w:ind w:firstLineChars="400" w:firstLine="720"/>
              <w:jc w:val="left"/>
              <w:rPr>
                <w:rFonts w:ascii="Calibri" w:hAnsi="Calibri"/>
                <w:b/>
                <w:bCs/>
                <w:color w:val="000000"/>
                <w:sz w:val="18"/>
                <w:szCs w:val="18"/>
              </w:rPr>
            </w:pPr>
            <w:r w:rsidRPr="003A7F68">
              <w:rPr>
                <w:rFonts w:ascii="Calibri" w:hAnsi="Calibri"/>
                <w:b/>
                <w:bCs/>
                <w:color w:val="000000"/>
                <w:sz w:val="18"/>
                <w:szCs w:val="18"/>
              </w:rPr>
              <w:t>K665001 INFORMATIZACIJA</w:t>
            </w:r>
          </w:p>
        </w:tc>
        <w:tc>
          <w:tcPr>
            <w:tcW w:w="660" w:type="pct"/>
            <w:tcBorders>
              <w:top w:val="nil"/>
              <w:left w:val="single" w:sz="4" w:space="0" w:color="95B3D7"/>
              <w:bottom w:val="nil"/>
              <w:right w:val="single" w:sz="4" w:space="0" w:color="95B3D7"/>
            </w:tcBorders>
            <w:shd w:val="clear" w:color="000000" w:fill="FABF8F"/>
            <w:noWrap/>
            <w:vAlign w:val="bottom"/>
            <w:hideMark/>
          </w:tcPr>
          <w:p w14:paraId="755A61A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327.889,00</w:t>
            </w:r>
          </w:p>
        </w:tc>
        <w:tc>
          <w:tcPr>
            <w:tcW w:w="667" w:type="pct"/>
            <w:tcBorders>
              <w:top w:val="nil"/>
              <w:left w:val="nil"/>
              <w:bottom w:val="nil"/>
              <w:right w:val="nil"/>
            </w:tcBorders>
            <w:shd w:val="clear" w:color="000000" w:fill="FABF8F"/>
            <w:noWrap/>
            <w:vAlign w:val="bottom"/>
            <w:hideMark/>
          </w:tcPr>
          <w:p w14:paraId="27613A3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312.889,00</w:t>
            </w:r>
          </w:p>
        </w:tc>
        <w:tc>
          <w:tcPr>
            <w:tcW w:w="660" w:type="pct"/>
            <w:tcBorders>
              <w:top w:val="nil"/>
              <w:left w:val="single" w:sz="4" w:space="0" w:color="95B3D7"/>
              <w:bottom w:val="nil"/>
              <w:right w:val="single" w:sz="4" w:space="0" w:color="95B3D7"/>
            </w:tcBorders>
            <w:shd w:val="clear" w:color="000000" w:fill="FABF8F"/>
            <w:noWrap/>
            <w:vAlign w:val="bottom"/>
            <w:hideMark/>
          </w:tcPr>
          <w:p w14:paraId="5802C48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292.068,94</w:t>
            </w:r>
          </w:p>
        </w:tc>
        <w:tc>
          <w:tcPr>
            <w:tcW w:w="563" w:type="pct"/>
            <w:tcBorders>
              <w:top w:val="nil"/>
              <w:left w:val="nil"/>
              <w:bottom w:val="nil"/>
              <w:right w:val="nil"/>
            </w:tcBorders>
            <w:shd w:val="clear" w:color="000000" w:fill="FABF8F"/>
            <w:noWrap/>
            <w:vAlign w:val="bottom"/>
            <w:hideMark/>
          </w:tcPr>
          <w:p w14:paraId="7D39DDC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93,35</w:t>
            </w:r>
          </w:p>
        </w:tc>
      </w:tr>
      <w:tr w:rsidR="003A7F68" w:rsidRPr="003A7F68" w14:paraId="0921A57B" w14:textId="77777777" w:rsidTr="003A7F68">
        <w:trPr>
          <w:trHeight w:val="300"/>
        </w:trPr>
        <w:tc>
          <w:tcPr>
            <w:tcW w:w="2450" w:type="pct"/>
            <w:tcBorders>
              <w:top w:val="single" w:sz="4" w:space="0" w:color="95B3D7"/>
              <w:left w:val="nil"/>
              <w:bottom w:val="single" w:sz="4" w:space="0" w:color="95B3D7"/>
              <w:right w:val="nil"/>
            </w:tcBorders>
            <w:shd w:val="clear" w:color="000000" w:fill="CCC0DA"/>
            <w:vAlign w:val="bottom"/>
            <w:hideMark/>
          </w:tcPr>
          <w:p w14:paraId="6BF78AA2"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t>IZVOR 11 OPĆI PRIHODI I PRIMICI</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128E662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327.889,00</w:t>
            </w:r>
          </w:p>
        </w:tc>
        <w:tc>
          <w:tcPr>
            <w:tcW w:w="667" w:type="pct"/>
            <w:tcBorders>
              <w:top w:val="single" w:sz="4" w:space="0" w:color="95B3D7"/>
              <w:left w:val="nil"/>
              <w:bottom w:val="single" w:sz="4" w:space="0" w:color="95B3D7"/>
              <w:right w:val="nil"/>
            </w:tcBorders>
            <w:shd w:val="clear" w:color="000000" w:fill="CCC0DA"/>
            <w:noWrap/>
            <w:vAlign w:val="bottom"/>
            <w:hideMark/>
          </w:tcPr>
          <w:p w14:paraId="7BF0F4C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312.889,00</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65EC3D2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292.068,94</w:t>
            </w:r>
          </w:p>
        </w:tc>
        <w:tc>
          <w:tcPr>
            <w:tcW w:w="563" w:type="pct"/>
            <w:tcBorders>
              <w:top w:val="single" w:sz="4" w:space="0" w:color="95B3D7"/>
              <w:left w:val="nil"/>
              <w:bottom w:val="single" w:sz="4" w:space="0" w:color="95B3D7"/>
              <w:right w:val="nil"/>
            </w:tcBorders>
            <w:shd w:val="clear" w:color="000000" w:fill="CCC0DA"/>
            <w:noWrap/>
            <w:vAlign w:val="bottom"/>
            <w:hideMark/>
          </w:tcPr>
          <w:p w14:paraId="32F2011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93,35</w:t>
            </w:r>
          </w:p>
        </w:tc>
      </w:tr>
      <w:tr w:rsidR="003A7F68" w:rsidRPr="003A7F68" w14:paraId="26617630" w14:textId="77777777" w:rsidTr="003A7F68">
        <w:trPr>
          <w:trHeight w:val="300"/>
        </w:trPr>
        <w:tc>
          <w:tcPr>
            <w:tcW w:w="2450" w:type="pct"/>
            <w:tcBorders>
              <w:top w:val="nil"/>
              <w:left w:val="nil"/>
              <w:bottom w:val="nil"/>
              <w:right w:val="nil"/>
            </w:tcBorders>
            <w:shd w:val="clear" w:color="000000" w:fill="DCE6F1"/>
            <w:vAlign w:val="bottom"/>
            <w:hideMark/>
          </w:tcPr>
          <w:p w14:paraId="6AD62165"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32 Materijalni rashodi</w:t>
            </w:r>
          </w:p>
        </w:tc>
        <w:tc>
          <w:tcPr>
            <w:tcW w:w="660" w:type="pct"/>
            <w:tcBorders>
              <w:top w:val="nil"/>
              <w:left w:val="single" w:sz="4" w:space="0" w:color="95B3D7"/>
              <w:bottom w:val="nil"/>
              <w:right w:val="single" w:sz="4" w:space="0" w:color="95B3D7"/>
            </w:tcBorders>
            <w:shd w:val="clear" w:color="000000" w:fill="DCE6F1"/>
            <w:noWrap/>
            <w:vAlign w:val="bottom"/>
            <w:hideMark/>
          </w:tcPr>
          <w:p w14:paraId="33CC04F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319.622,00</w:t>
            </w:r>
          </w:p>
        </w:tc>
        <w:tc>
          <w:tcPr>
            <w:tcW w:w="667" w:type="pct"/>
            <w:tcBorders>
              <w:top w:val="nil"/>
              <w:left w:val="nil"/>
              <w:bottom w:val="nil"/>
              <w:right w:val="nil"/>
            </w:tcBorders>
            <w:shd w:val="clear" w:color="000000" w:fill="DCE6F1"/>
            <w:noWrap/>
            <w:vAlign w:val="bottom"/>
            <w:hideMark/>
          </w:tcPr>
          <w:p w14:paraId="34E8744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309.622,00</w:t>
            </w:r>
          </w:p>
        </w:tc>
        <w:tc>
          <w:tcPr>
            <w:tcW w:w="660" w:type="pct"/>
            <w:tcBorders>
              <w:top w:val="nil"/>
              <w:left w:val="single" w:sz="4" w:space="0" w:color="95B3D7"/>
              <w:bottom w:val="nil"/>
              <w:right w:val="single" w:sz="4" w:space="0" w:color="95B3D7"/>
            </w:tcBorders>
            <w:shd w:val="clear" w:color="000000" w:fill="DCE6F1"/>
            <w:noWrap/>
            <w:vAlign w:val="bottom"/>
            <w:hideMark/>
          </w:tcPr>
          <w:p w14:paraId="54C229E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290.086,44</w:t>
            </w:r>
          </w:p>
        </w:tc>
        <w:tc>
          <w:tcPr>
            <w:tcW w:w="563" w:type="pct"/>
            <w:tcBorders>
              <w:top w:val="nil"/>
              <w:left w:val="nil"/>
              <w:bottom w:val="nil"/>
              <w:right w:val="nil"/>
            </w:tcBorders>
            <w:shd w:val="clear" w:color="000000" w:fill="DCE6F1"/>
            <w:noWrap/>
            <w:vAlign w:val="bottom"/>
            <w:hideMark/>
          </w:tcPr>
          <w:p w14:paraId="37CF4A4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93,69</w:t>
            </w:r>
          </w:p>
        </w:tc>
      </w:tr>
      <w:tr w:rsidR="003A7F68" w:rsidRPr="003A7F68" w14:paraId="0798ED90"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CB7443D"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3232 Usluge tekućeg i investicijskog </w:t>
            </w:r>
          </w:p>
          <w:p w14:paraId="03FFD49A" w14:textId="5AAEBDE1"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održavanja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88BBE2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3.982,00</w:t>
            </w:r>
          </w:p>
        </w:tc>
        <w:tc>
          <w:tcPr>
            <w:tcW w:w="667" w:type="pct"/>
            <w:tcBorders>
              <w:top w:val="single" w:sz="4" w:space="0" w:color="95B3D7"/>
              <w:left w:val="nil"/>
              <w:bottom w:val="single" w:sz="4" w:space="0" w:color="95B3D7"/>
              <w:right w:val="nil"/>
            </w:tcBorders>
            <w:shd w:val="clear" w:color="auto" w:fill="auto"/>
            <w:noWrap/>
            <w:vAlign w:val="bottom"/>
            <w:hideMark/>
          </w:tcPr>
          <w:p w14:paraId="740AF6C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3.982,00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3AACA0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1.831,31</w:t>
            </w:r>
          </w:p>
        </w:tc>
        <w:tc>
          <w:tcPr>
            <w:tcW w:w="563" w:type="pct"/>
            <w:tcBorders>
              <w:top w:val="single" w:sz="4" w:space="0" w:color="95B3D7"/>
              <w:left w:val="nil"/>
              <w:bottom w:val="single" w:sz="4" w:space="0" w:color="95B3D7"/>
              <w:right w:val="nil"/>
            </w:tcBorders>
            <w:shd w:val="clear" w:color="auto" w:fill="auto"/>
            <w:noWrap/>
            <w:vAlign w:val="bottom"/>
            <w:hideMark/>
          </w:tcPr>
          <w:p w14:paraId="2A1520D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45,99</w:t>
            </w:r>
          </w:p>
        </w:tc>
      </w:tr>
      <w:tr w:rsidR="003A7F68" w:rsidRPr="003A7F68" w14:paraId="71B0B40B" w14:textId="77777777" w:rsidTr="003A7F68">
        <w:trPr>
          <w:trHeight w:val="300"/>
        </w:trPr>
        <w:tc>
          <w:tcPr>
            <w:tcW w:w="2450" w:type="pct"/>
            <w:tcBorders>
              <w:top w:val="nil"/>
              <w:left w:val="nil"/>
              <w:bottom w:val="nil"/>
              <w:right w:val="nil"/>
            </w:tcBorders>
            <w:shd w:val="clear" w:color="auto" w:fill="auto"/>
            <w:vAlign w:val="bottom"/>
            <w:hideMark/>
          </w:tcPr>
          <w:p w14:paraId="10DE558D"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3235 Zakupnine i najamnine</w:t>
            </w:r>
          </w:p>
        </w:tc>
        <w:tc>
          <w:tcPr>
            <w:tcW w:w="660" w:type="pct"/>
            <w:tcBorders>
              <w:top w:val="nil"/>
              <w:left w:val="single" w:sz="4" w:space="0" w:color="95B3D7"/>
              <w:bottom w:val="nil"/>
              <w:right w:val="single" w:sz="4" w:space="0" w:color="95B3D7"/>
            </w:tcBorders>
            <w:shd w:val="clear" w:color="auto" w:fill="auto"/>
            <w:noWrap/>
            <w:vAlign w:val="bottom"/>
            <w:hideMark/>
          </w:tcPr>
          <w:p w14:paraId="3C84CA7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78.306,00</w:t>
            </w:r>
          </w:p>
        </w:tc>
        <w:tc>
          <w:tcPr>
            <w:tcW w:w="667" w:type="pct"/>
            <w:tcBorders>
              <w:top w:val="nil"/>
              <w:left w:val="nil"/>
              <w:bottom w:val="nil"/>
              <w:right w:val="nil"/>
            </w:tcBorders>
            <w:shd w:val="clear" w:color="auto" w:fill="auto"/>
            <w:noWrap/>
            <w:vAlign w:val="bottom"/>
            <w:hideMark/>
          </w:tcPr>
          <w:p w14:paraId="4D57A1E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68.306,00</w:t>
            </w:r>
          </w:p>
        </w:tc>
        <w:tc>
          <w:tcPr>
            <w:tcW w:w="660" w:type="pct"/>
            <w:tcBorders>
              <w:top w:val="nil"/>
              <w:left w:val="single" w:sz="4" w:space="0" w:color="95B3D7"/>
              <w:bottom w:val="nil"/>
              <w:right w:val="single" w:sz="4" w:space="0" w:color="95B3D7"/>
            </w:tcBorders>
            <w:shd w:val="clear" w:color="auto" w:fill="auto"/>
            <w:noWrap/>
            <w:vAlign w:val="bottom"/>
            <w:hideMark/>
          </w:tcPr>
          <w:p w14:paraId="35E9F122"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64.556,56</w:t>
            </w:r>
          </w:p>
        </w:tc>
        <w:tc>
          <w:tcPr>
            <w:tcW w:w="563" w:type="pct"/>
            <w:tcBorders>
              <w:top w:val="nil"/>
              <w:left w:val="nil"/>
              <w:bottom w:val="nil"/>
              <w:right w:val="nil"/>
            </w:tcBorders>
            <w:shd w:val="clear" w:color="auto" w:fill="auto"/>
            <w:noWrap/>
            <w:vAlign w:val="bottom"/>
            <w:hideMark/>
          </w:tcPr>
          <w:p w14:paraId="6AD4684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94,51</w:t>
            </w:r>
          </w:p>
        </w:tc>
      </w:tr>
      <w:tr w:rsidR="003A7F68" w:rsidRPr="003A7F68" w14:paraId="7002EBD3"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22F804CE"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3238 Računalne usluge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FDD219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237.334,00</w:t>
            </w:r>
          </w:p>
        </w:tc>
        <w:tc>
          <w:tcPr>
            <w:tcW w:w="667" w:type="pct"/>
            <w:tcBorders>
              <w:top w:val="single" w:sz="4" w:space="0" w:color="95B3D7"/>
              <w:left w:val="nil"/>
              <w:bottom w:val="single" w:sz="4" w:space="0" w:color="95B3D7"/>
              <w:right w:val="nil"/>
            </w:tcBorders>
            <w:shd w:val="clear" w:color="auto" w:fill="auto"/>
            <w:noWrap/>
            <w:vAlign w:val="bottom"/>
            <w:hideMark/>
          </w:tcPr>
          <w:p w14:paraId="015E4DA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237.334,00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9D621E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223.698,57</w:t>
            </w:r>
          </w:p>
        </w:tc>
        <w:tc>
          <w:tcPr>
            <w:tcW w:w="563" w:type="pct"/>
            <w:tcBorders>
              <w:top w:val="single" w:sz="4" w:space="0" w:color="95B3D7"/>
              <w:left w:val="nil"/>
              <w:bottom w:val="single" w:sz="4" w:space="0" w:color="95B3D7"/>
              <w:right w:val="nil"/>
            </w:tcBorders>
            <w:shd w:val="clear" w:color="auto" w:fill="auto"/>
            <w:noWrap/>
            <w:vAlign w:val="bottom"/>
            <w:hideMark/>
          </w:tcPr>
          <w:p w14:paraId="46DEE4F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94,25</w:t>
            </w:r>
          </w:p>
        </w:tc>
      </w:tr>
      <w:tr w:rsidR="003A7F68" w:rsidRPr="003A7F68" w14:paraId="663167C8" w14:textId="77777777" w:rsidTr="003A7F68">
        <w:trPr>
          <w:trHeight w:val="300"/>
        </w:trPr>
        <w:tc>
          <w:tcPr>
            <w:tcW w:w="2450" w:type="pct"/>
            <w:tcBorders>
              <w:top w:val="nil"/>
              <w:left w:val="nil"/>
              <w:bottom w:val="nil"/>
              <w:right w:val="nil"/>
            </w:tcBorders>
            <w:shd w:val="clear" w:color="000000" w:fill="DCE6F1"/>
            <w:vAlign w:val="bottom"/>
            <w:hideMark/>
          </w:tcPr>
          <w:p w14:paraId="3B1DEB33"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 xml:space="preserve">41 Rashodi za nabavu </w:t>
            </w:r>
            <w:proofErr w:type="spellStart"/>
            <w:r w:rsidRPr="003A7F68">
              <w:rPr>
                <w:rFonts w:ascii="Calibri" w:hAnsi="Calibri"/>
                <w:b/>
                <w:bCs/>
                <w:color w:val="000000"/>
                <w:sz w:val="18"/>
                <w:szCs w:val="18"/>
              </w:rPr>
              <w:t>neproizvedene</w:t>
            </w:r>
            <w:proofErr w:type="spellEnd"/>
            <w:r w:rsidRPr="003A7F68">
              <w:rPr>
                <w:rFonts w:ascii="Calibri" w:hAnsi="Calibri"/>
                <w:b/>
                <w:bCs/>
                <w:color w:val="000000"/>
                <w:sz w:val="18"/>
                <w:szCs w:val="18"/>
              </w:rPr>
              <w:t xml:space="preserve"> dugotrajne imovine</w:t>
            </w:r>
          </w:p>
        </w:tc>
        <w:tc>
          <w:tcPr>
            <w:tcW w:w="660" w:type="pct"/>
            <w:tcBorders>
              <w:top w:val="nil"/>
              <w:left w:val="single" w:sz="4" w:space="0" w:color="95B3D7"/>
              <w:bottom w:val="nil"/>
              <w:right w:val="single" w:sz="4" w:space="0" w:color="95B3D7"/>
            </w:tcBorders>
            <w:shd w:val="clear" w:color="000000" w:fill="DCE6F1"/>
            <w:noWrap/>
            <w:vAlign w:val="bottom"/>
            <w:hideMark/>
          </w:tcPr>
          <w:p w14:paraId="05D4CC9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550,00</w:t>
            </w:r>
          </w:p>
        </w:tc>
        <w:tc>
          <w:tcPr>
            <w:tcW w:w="667" w:type="pct"/>
            <w:tcBorders>
              <w:top w:val="nil"/>
              <w:left w:val="nil"/>
              <w:bottom w:val="nil"/>
              <w:right w:val="nil"/>
            </w:tcBorders>
            <w:shd w:val="clear" w:color="000000" w:fill="DCE6F1"/>
            <w:noWrap/>
            <w:vAlign w:val="bottom"/>
            <w:hideMark/>
          </w:tcPr>
          <w:p w14:paraId="4FB94DC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550,00</w:t>
            </w:r>
          </w:p>
        </w:tc>
        <w:tc>
          <w:tcPr>
            <w:tcW w:w="660" w:type="pct"/>
            <w:tcBorders>
              <w:top w:val="nil"/>
              <w:left w:val="single" w:sz="4" w:space="0" w:color="95B3D7"/>
              <w:bottom w:val="nil"/>
              <w:right w:val="single" w:sz="4" w:space="0" w:color="95B3D7"/>
            </w:tcBorders>
            <w:shd w:val="clear" w:color="000000" w:fill="DCE6F1"/>
            <w:noWrap/>
            <w:vAlign w:val="bottom"/>
            <w:hideMark/>
          </w:tcPr>
          <w:p w14:paraId="12EA1A2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550,00</w:t>
            </w:r>
          </w:p>
        </w:tc>
        <w:tc>
          <w:tcPr>
            <w:tcW w:w="563" w:type="pct"/>
            <w:tcBorders>
              <w:top w:val="nil"/>
              <w:left w:val="nil"/>
              <w:bottom w:val="nil"/>
              <w:right w:val="nil"/>
            </w:tcBorders>
            <w:shd w:val="clear" w:color="000000" w:fill="DCE6F1"/>
            <w:noWrap/>
            <w:vAlign w:val="bottom"/>
            <w:hideMark/>
          </w:tcPr>
          <w:p w14:paraId="39FAD10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100,00</w:t>
            </w:r>
          </w:p>
        </w:tc>
      </w:tr>
      <w:tr w:rsidR="003A7F68" w:rsidRPr="003A7F68" w14:paraId="23F46F04"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106761FD"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4123 Licence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926E3D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550,00</w:t>
            </w:r>
          </w:p>
        </w:tc>
        <w:tc>
          <w:tcPr>
            <w:tcW w:w="667" w:type="pct"/>
            <w:tcBorders>
              <w:top w:val="single" w:sz="4" w:space="0" w:color="95B3D7"/>
              <w:left w:val="nil"/>
              <w:bottom w:val="single" w:sz="4" w:space="0" w:color="95B3D7"/>
              <w:right w:val="nil"/>
            </w:tcBorders>
            <w:shd w:val="clear" w:color="auto" w:fill="auto"/>
            <w:noWrap/>
            <w:vAlign w:val="bottom"/>
            <w:hideMark/>
          </w:tcPr>
          <w:p w14:paraId="13FF095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550,00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A1639D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550,00</w:t>
            </w:r>
          </w:p>
        </w:tc>
        <w:tc>
          <w:tcPr>
            <w:tcW w:w="563" w:type="pct"/>
            <w:tcBorders>
              <w:top w:val="single" w:sz="4" w:space="0" w:color="95B3D7"/>
              <w:left w:val="nil"/>
              <w:bottom w:val="single" w:sz="4" w:space="0" w:color="95B3D7"/>
              <w:right w:val="nil"/>
            </w:tcBorders>
            <w:shd w:val="clear" w:color="auto" w:fill="auto"/>
            <w:noWrap/>
            <w:vAlign w:val="bottom"/>
            <w:hideMark/>
          </w:tcPr>
          <w:p w14:paraId="01B5511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100,00</w:t>
            </w:r>
          </w:p>
        </w:tc>
      </w:tr>
      <w:tr w:rsidR="003A7F68" w:rsidRPr="003A7F68" w14:paraId="01B0D5BE" w14:textId="77777777" w:rsidTr="003A7F68">
        <w:trPr>
          <w:trHeight w:val="300"/>
        </w:trPr>
        <w:tc>
          <w:tcPr>
            <w:tcW w:w="2450" w:type="pct"/>
            <w:tcBorders>
              <w:top w:val="nil"/>
              <w:left w:val="nil"/>
              <w:bottom w:val="nil"/>
              <w:right w:val="nil"/>
            </w:tcBorders>
            <w:shd w:val="clear" w:color="000000" w:fill="DCE6F1"/>
            <w:vAlign w:val="bottom"/>
            <w:hideMark/>
          </w:tcPr>
          <w:p w14:paraId="7353C4DE"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42 Rashodi za nabavu proizvedene dugotrajne imovine</w:t>
            </w:r>
          </w:p>
        </w:tc>
        <w:tc>
          <w:tcPr>
            <w:tcW w:w="660" w:type="pct"/>
            <w:tcBorders>
              <w:top w:val="nil"/>
              <w:left w:val="single" w:sz="4" w:space="0" w:color="95B3D7"/>
              <w:bottom w:val="nil"/>
              <w:right w:val="single" w:sz="4" w:space="0" w:color="95B3D7"/>
            </w:tcBorders>
            <w:shd w:val="clear" w:color="000000" w:fill="DCE6F1"/>
            <w:noWrap/>
            <w:vAlign w:val="bottom"/>
            <w:hideMark/>
          </w:tcPr>
          <w:p w14:paraId="6FB4766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7.717,00</w:t>
            </w:r>
          </w:p>
        </w:tc>
        <w:tc>
          <w:tcPr>
            <w:tcW w:w="667" w:type="pct"/>
            <w:tcBorders>
              <w:top w:val="nil"/>
              <w:left w:val="nil"/>
              <w:bottom w:val="nil"/>
              <w:right w:val="nil"/>
            </w:tcBorders>
            <w:shd w:val="clear" w:color="000000" w:fill="DCE6F1"/>
            <w:noWrap/>
            <w:vAlign w:val="bottom"/>
            <w:hideMark/>
          </w:tcPr>
          <w:p w14:paraId="792E394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2.717,00</w:t>
            </w:r>
          </w:p>
        </w:tc>
        <w:tc>
          <w:tcPr>
            <w:tcW w:w="660" w:type="pct"/>
            <w:tcBorders>
              <w:top w:val="nil"/>
              <w:left w:val="single" w:sz="4" w:space="0" w:color="95B3D7"/>
              <w:bottom w:val="nil"/>
              <w:right w:val="single" w:sz="4" w:space="0" w:color="95B3D7"/>
            </w:tcBorders>
            <w:shd w:val="clear" w:color="000000" w:fill="DCE6F1"/>
            <w:noWrap/>
            <w:vAlign w:val="bottom"/>
            <w:hideMark/>
          </w:tcPr>
          <w:p w14:paraId="7D587B7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1.432,50</w:t>
            </w:r>
          </w:p>
        </w:tc>
        <w:tc>
          <w:tcPr>
            <w:tcW w:w="563" w:type="pct"/>
            <w:tcBorders>
              <w:top w:val="nil"/>
              <w:left w:val="nil"/>
              <w:bottom w:val="nil"/>
              <w:right w:val="nil"/>
            </w:tcBorders>
            <w:shd w:val="clear" w:color="000000" w:fill="DCE6F1"/>
            <w:noWrap/>
            <w:vAlign w:val="bottom"/>
            <w:hideMark/>
          </w:tcPr>
          <w:p w14:paraId="468544E5"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52,72</w:t>
            </w:r>
          </w:p>
        </w:tc>
      </w:tr>
      <w:tr w:rsidR="003A7F68" w:rsidRPr="003A7F68" w14:paraId="20EE6B20"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7804979D"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4221 Uredska oprema i namještaj</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33947B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7.717,00</w:t>
            </w:r>
          </w:p>
        </w:tc>
        <w:tc>
          <w:tcPr>
            <w:tcW w:w="667" w:type="pct"/>
            <w:tcBorders>
              <w:top w:val="single" w:sz="4" w:space="0" w:color="95B3D7"/>
              <w:left w:val="nil"/>
              <w:bottom w:val="single" w:sz="4" w:space="0" w:color="95B3D7"/>
              <w:right w:val="nil"/>
            </w:tcBorders>
            <w:shd w:val="clear" w:color="auto" w:fill="auto"/>
            <w:noWrap/>
            <w:vAlign w:val="bottom"/>
            <w:hideMark/>
          </w:tcPr>
          <w:p w14:paraId="2781149E"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2.717,00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E00C2C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1.432,50</w:t>
            </w:r>
          </w:p>
        </w:tc>
        <w:tc>
          <w:tcPr>
            <w:tcW w:w="563" w:type="pct"/>
            <w:tcBorders>
              <w:top w:val="single" w:sz="4" w:space="0" w:color="95B3D7"/>
              <w:left w:val="nil"/>
              <w:bottom w:val="single" w:sz="4" w:space="0" w:color="95B3D7"/>
              <w:right w:val="nil"/>
            </w:tcBorders>
            <w:shd w:val="clear" w:color="auto" w:fill="auto"/>
            <w:noWrap/>
            <w:vAlign w:val="bottom"/>
            <w:hideMark/>
          </w:tcPr>
          <w:p w14:paraId="1E3CE37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52,72</w:t>
            </w:r>
          </w:p>
        </w:tc>
      </w:tr>
      <w:tr w:rsidR="003A7F68" w:rsidRPr="003A7F68" w14:paraId="48D23F0A" w14:textId="77777777" w:rsidTr="003A7F68">
        <w:trPr>
          <w:trHeight w:val="300"/>
        </w:trPr>
        <w:tc>
          <w:tcPr>
            <w:tcW w:w="2450" w:type="pct"/>
            <w:tcBorders>
              <w:top w:val="nil"/>
              <w:left w:val="nil"/>
              <w:bottom w:val="nil"/>
              <w:right w:val="nil"/>
            </w:tcBorders>
            <w:shd w:val="clear" w:color="000000" w:fill="FABF8F"/>
            <w:vAlign w:val="bottom"/>
            <w:hideMark/>
          </w:tcPr>
          <w:p w14:paraId="759074E0" w14:textId="77777777" w:rsidR="003A7F68" w:rsidRPr="003A7F68" w:rsidRDefault="003A7F68" w:rsidP="003A7F68">
            <w:pPr>
              <w:widowControl/>
              <w:autoSpaceDE/>
              <w:autoSpaceDN/>
              <w:adjustRightInd/>
              <w:ind w:firstLineChars="400" w:firstLine="720"/>
              <w:jc w:val="left"/>
              <w:rPr>
                <w:rFonts w:ascii="Calibri" w:hAnsi="Calibri"/>
                <w:b/>
                <w:bCs/>
                <w:color w:val="000000"/>
                <w:sz w:val="18"/>
                <w:szCs w:val="18"/>
              </w:rPr>
            </w:pPr>
            <w:r w:rsidRPr="003A7F68">
              <w:rPr>
                <w:rFonts w:ascii="Calibri" w:hAnsi="Calibri"/>
                <w:b/>
                <w:bCs/>
                <w:color w:val="000000"/>
                <w:sz w:val="18"/>
                <w:szCs w:val="18"/>
              </w:rPr>
              <w:t>K665002 OBNOVA VOZNOG PARKA</w:t>
            </w:r>
          </w:p>
        </w:tc>
        <w:tc>
          <w:tcPr>
            <w:tcW w:w="660" w:type="pct"/>
            <w:tcBorders>
              <w:top w:val="nil"/>
              <w:left w:val="single" w:sz="4" w:space="0" w:color="95B3D7"/>
              <w:bottom w:val="nil"/>
              <w:right w:val="single" w:sz="4" w:space="0" w:color="95B3D7"/>
            </w:tcBorders>
            <w:shd w:val="clear" w:color="000000" w:fill="FABF8F"/>
            <w:noWrap/>
            <w:vAlign w:val="bottom"/>
            <w:hideMark/>
          </w:tcPr>
          <w:p w14:paraId="41E0B5CD"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184.019,00</w:t>
            </w:r>
          </w:p>
        </w:tc>
        <w:tc>
          <w:tcPr>
            <w:tcW w:w="667" w:type="pct"/>
            <w:tcBorders>
              <w:top w:val="nil"/>
              <w:left w:val="nil"/>
              <w:bottom w:val="nil"/>
              <w:right w:val="nil"/>
            </w:tcBorders>
            <w:shd w:val="clear" w:color="000000" w:fill="FABF8F"/>
            <w:noWrap/>
            <w:vAlign w:val="bottom"/>
            <w:hideMark/>
          </w:tcPr>
          <w:p w14:paraId="64AB6033"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184.019,00</w:t>
            </w:r>
          </w:p>
        </w:tc>
        <w:tc>
          <w:tcPr>
            <w:tcW w:w="660" w:type="pct"/>
            <w:tcBorders>
              <w:top w:val="nil"/>
              <w:left w:val="single" w:sz="4" w:space="0" w:color="95B3D7"/>
              <w:bottom w:val="nil"/>
              <w:right w:val="single" w:sz="4" w:space="0" w:color="95B3D7"/>
            </w:tcBorders>
            <w:shd w:val="clear" w:color="000000" w:fill="FABF8F"/>
            <w:noWrap/>
            <w:vAlign w:val="bottom"/>
            <w:hideMark/>
          </w:tcPr>
          <w:p w14:paraId="1D965F7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162.176,50</w:t>
            </w:r>
          </w:p>
        </w:tc>
        <w:tc>
          <w:tcPr>
            <w:tcW w:w="563" w:type="pct"/>
            <w:tcBorders>
              <w:top w:val="nil"/>
              <w:left w:val="nil"/>
              <w:bottom w:val="nil"/>
              <w:right w:val="nil"/>
            </w:tcBorders>
            <w:shd w:val="clear" w:color="000000" w:fill="FABF8F"/>
            <w:noWrap/>
            <w:vAlign w:val="bottom"/>
            <w:hideMark/>
          </w:tcPr>
          <w:p w14:paraId="2CDA2BE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88,13</w:t>
            </w:r>
          </w:p>
        </w:tc>
      </w:tr>
      <w:tr w:rsidR="003A7F68" w:rsidRPr="003A7F68" w14:paraId="75A42E44" w14:textId="77777777" w:rsidTr="003A7F68">
        <w:trPr>
          <w:trHeight w:val="300"/>
        </w:trPr>
        <w:tc>
          <w:tcPr>
            <w:tcW w:w="2450" w:type="pct"/>
            <w:tcBorders>
              <w:top w:val="single" w:sz="4" w:space="0" w:color="95B3D7"/>
              <w:left w:val="nil"/>
              <w:bottom w:val="single" w:sz="4" w:space="0" w:color="95B3D7"/>
              <w:right w:val="nil"/>
            </w:tcBorders>
            <w:shd w:val="clear" w:color="000000" w:fill="CCC0DA"/>
            <w:vAlign w:val="bottom"/>
            <w:hideMark/>
          </w:tcPr>
          <w:p w14:paraId="44C9367A" w14:textId="77777777" w:rsidR="003A7F68" w:rsidRPr="003A7F68" w:rsidRDefault="003A7F68" w:rsidP="003A7F68">
            <w:pPr>
              <w:widowControl/>
              <w:autoSpaceDE/>
              <w:autoSpaceDN/>
              <w:adjustRightInd/>
              <w:ind w:firstLineChars="500" w:firstLine="900"/>
              <w:jc w:val="left"/>
              <w:rPr>
                <w:rFonts w:ascii="Calibri" w:hAnsi="Calibri"/>
                <w:b/>
                <w:bCs/>
                <w:color w:val="000000"/>
                <w:sz w:val="18"/>
                <w:szCs w:val="18"/>
              </w:rPr>
            </w:pPr>
            <w:r w:rsidRPr="003A7F68">
              <w:rPr>
                <w:rFonts w:ascii="Calibri" w:hAnsi="Calibri"/>
                <w:b/>
                <w:bCs/>
                <w:color w:val="000000"/>
                <w:sz w:val="18"/>
                <w:szCs w:val="18"/>
              </w:rPr>
              <w:lastRenderedPageBreak/>
              <w:t>IZVOR 11 OPĆI PRIHODI I PRIMICI</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763BC9F9"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184.019,00</w:t>
            </w:r>
          </w:p>
        </w:tc>
        <w:tc>
          <w:tcPr>
            <w:tcW w:w="667" w:type="pct"/>
            <w:tcBorders>
              <w:top w:val="single" w:sz="4" w:space="0" w:color="95B3D7"/>
              <w:left w:val="nil"/>
              <w:bottom w:val="single" w:sz="4" w:space="0" w:color="95B3D7"/>
              <w:right w:val="nil"/>
            </w:tcBorders>
            <w:shd w:val="clear" w:color="000000" w:fill="CCC0DA"/>
            <w:noWrap/>
            <w:vAlign w:val="bottom"/>
            <w:hideMark/>
          </w:tcPr>
          <w:p w14:paraId="6EC0459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184.019,00</w:t>
            </w:r>
          </w:p>
        </w:tc>
        <w:tc>
          <w:tcPr>
            <w:tcW w:w="660" w:type="pct"/>
            <w:tcBorders>
              <w:top w:val="single" w:sz="4" w:space="0" w:color="95B3D7"/>
              <w:left w:val="single" w:sz="4" w:space="0" w:color="95B3D7"/>
              <w:bottom w:val="single" w:sz="4" w:space="0" w:color="95B3D7"/>
              <w:right w:val="single" w:sz="4" w:space="0" w:color="95B3D7"/>
            </w:tcBorders>
            <w:shd w:val="clear" w:color="000000" w:fill="CCC0DA"/>
            <w:noWrap/>
            <w:vAlign w:val="bottom"/>
            <w:hideMark/>
          </w:tcPr>
          <w:p w14:paraId="613BE1D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162.176,50</w:t>
            </w:r>
          </w:p>
        </w:tc>
        <w:tc>
          <w:tcPr>
            <w:tcW w:w="563" w:type="pct"/>
            <w:tcBorders>
              <w:top w:val="single" w:sz="4" w:space="0" w:color="95B3D7"/>
              <w:left w:val="nil"/>
              <w:bottom w:val="single" w:sz="4" w:space="0" w:color="95B3D7"/>
              <w:right w:val="nil"/>
            </w:tcBorders>
            <w:shd w:val="clear" w:color="000000" w:fill="CCC0DA"/>
            <w:noWrap/>
            <w:vAlign w:val="bottom"/>
            <w:hideMark/>
          </w:tcPr>
          <w:p w14:paraId="5152EEE8"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88,13</w:t>
            </w:r>
          </w:p>
        </w:tc>
      </w:tr>
      <w:tr w:rsidR="003A7F68" w:rsidRPr="003A7F68" w14:paraId="7337FC8B" w14:textId="77777777" w:rsidTr="003A7F68">
        <w:trPr>
          <w:trHeight w:val="300"/>
        </w:trPr>
        <w:tc>
          <w:tcPr>
            <w:tcW w:w="2450" w:type="pct"/>
            <w:tcBorders>
              <w:top w:val="nil"/>
              <w:left w:val="nil"/>
              <w:bottom w:val="nil"/>
              <w:right w:val="nil"/>
            </w:tcBorders>
            <w:shd w:val="clear" w:color="000000" w:fill="DCE6F1"/>
            <w:vAlign w:val="bottom"/>
            <w:hideMark/>
          </w:tcPr>
          <w:p w14:paraId="368FEDCD"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32 Materijalni rashodi</w:t>
            </w:r>
          </w:p>
        </w:tc>
        <w:tc>
          <w:tcPr>
            <w:tcW w:w="660" w:type="pct"/>
            <w:tcBorders>
              <w:top w:val="nil"/>
              <w:left w:val="single" w:sz="4" w:space="0" w:color="95B3D7"/>
              <w:bottom w:val="nil"/>
              <w:right w:val="single" w:sz="4" w:space="0" w:color="95B3D7"/>
            </w:tcBorders>
            <w:shd w:val="clear" w:color="000000" w:fill="DCE6F1"/>
            <w:noWrap/>
            <w:vAlign w:val="bottom"/>
            <w:hideMark/>
          </w:tcPr>
          <w:p w14:paraId="4AA2982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53.296,00</w:t>
            </w:r>
          </w:p>
        </w:tc>
        <w:tc>
          <w:tcPr>
            <w:tcW w:w="667" w:type="pct"/>
            <w:tcBorders>
              <w:top w:val="nil"/>
              <w:left w:val="nil"/>
              <w:bottom w:val="nil"/>
              <w:right w:val="nil"/>
            </w:tcBorders>
            <w:shd w:val="clear" w:color="000000" w:fill="DCE6F1"/>
            <w:noWrap/>
            <w:vAlign w:val="bottom"/>
            <w:hideMark/>
          </w:tcPr>
          <w:p w14:paraId="5AB30ED7"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53.296,00</w:t>
            </w:r>
          </w:p>
        </w:tc>
        <w:tc>
          <w:tcPr>
            <w:tcW w:w="660" w:type="pct"/>
            <w:tcBorders>
              <w:top w:val="nil"/>
              <w:left w:val="single" w:sz="4" w:space="0" w:color="95B3D7"/>
              <w:bottom w:val="nil"/>
              <w:right w:val="single" w:sz="4" w:space="0" w:color="95B3D7"/>
            </w:tcBorders>
            <w:shd w:val="clear" w:color="000000" w:fill="DCE6F1"/>
            <w:noWrap/>
            <w:vAlign w:val="bottom"/>
            <w:hideMark/>
          </w:tcPr>
          <w:p w14:paraId="224D3AA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47.026,35</w:t>
            </w:r>
          </w:p>
        </w:tc>
        <w:tc>
          <w:tcPr>
            <w:tcW w:w="563" w:type="pct"/>
            <w:tcBorders>
              <w:top w:val="nil"/>
              <w:left w:val="nil"/>
              <w:bottom w:val="nil"/>
              <w:right w:val="nil"/>
            </w:tcBorders>
            <w:shd w:val="clear" w:color="000000" w:fill="DCE6F1"/>
            <w:noWrap/>
            <w:vAlign w:val="bottom"/>
            <w:hideMark/>
          </w:tcPr>
          <w:p w14:paraId="07D0E04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88,24</w:t>
            </w:r>
          </w:p>
        </w:tc>
      </w:tr>
      <w:tr w:rsidR="003A7F68" w:rsidRPr="003A7F68" w14:paraId="23612BD1"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45E06605"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3223 Energija</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CB69BA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23.226,00</w:t>
            </w:r>
          </w:p>
        </w:tc>
        <w:tc>
          <w:tcPr>
            <w:tcW w:w="667" w:type="pct"/>
            <w:tcBorders>
              <w:top w:val="single" w:sz="4" w:space="0" w:color="95B3D7"/>
              <w:left w:val="nil"/>
              <w:bottom w:val="single" w:sz="4" w:space="0" w:color="95B3D7"/>
              <w:right w:val="nil"/>
            </w:tcBorders>
            <w:shd w:val="clear" w:color="auto" w:fill="auto"/>
            <w:noWrap/>
            <w:vAlign w:val="bottom"/>
            <w:hideMark/>
          </w:tcPr>
          <w:p w14:paraId="147EBE6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23.226,00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5D5B094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21.086,28</w:t>
            </w:r>
          </w:p>
        </w:tc>
        <w:tc>
          <w:tcPr>
            <w:tcW w:w="563" w:type="pct"/>
            <w:tcBorders>
              <w:top w:val="single" w:sz="4" w:space="0" w:color="95B3D7"/>
              <w:left w:val="nil"/>
              <w:bottom w:val="single" w:sz="4" w:space="0" w:color="95B3D7"/>
              <w:right w:val="nil"/>
            </w:tcBorders>
            <w:shd w:val="clear" w:color="auto" w:fill="auto"/>
            <w:noWrap/>
            <w:vAlign w:val="bottom"/>
            <w:hideMark/>
          </w:tcPr>
          <w:p w14:paraId="087FA17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90,79</w:t>
            </w:r>
          </w:p>
        </w:tc>
      </w:tr>
      <w:tr w:rsidR="003A7F68" w:rsidRPr="003A7F68" w14:paraId="585AE5C2" w14:textId="77777777" w:rsidTr="003A7F68">
        <w:trPr>
          <w:trHeight w:val="300"/>
        </w:trPr>
        <w:tc>
          <w:tcPr>
            <w:tcW w:w="2450" w:type="pct"/>
            <w:tcBorders>
              <w:top w:val="nil"/>
              <w:left w:val="nil"/>
              <w:bottom w:val="nil"/>
              <w:right w:val="nil"/>
            </w:tcBorders>
            <w:shd w:val="clear" w:color="auto" w:fill="auto"/>
            <w:vAlign w:val="bottom"/>
            <w:hideMark/>
          </w:tcPr>
          <w:p w14:paraId="0B4799F0"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3224 Materijal i dijelovi za tekuće i </w:t>
            </w:r>
          </w:p>
          <w:p w14:paraId="61DABA81" w14:textId="4C8451EC"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investicijsko održavanje</w:t>
            </w:r>
          </w:p>
        </w:tc>
        <w:tc>
          <w:tcPr>
            <w:tcW w:w="660" w:type="pct"/>
            <w:tcBorders>
              <w:top w:val="nil"/>
              <w:left w:val="single" w:sz="4" w:space="0" w:color="95B3D7"/>
              <w:bottom w:val="nil"/>
              <w:right w:val="single" w:sz="4" w:space="0" w:color="95B3D7"/>
            </w:tcBorders>
            <w:shd w:val="clear" w:color="auto" w:fill="auto"/>
            <w:noWrap/>
            <w:vAlign w:val="bottom"/>
            <w:hideMark/>
          </w:tcPr>
          <w:p w14:paraId="1F31CEF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199,00</w:t>
            </w:r>
          </w:p>
        </w:tc>
        <w:tc>
          <w:tcPr>
            <w:tcW w:w="667" w:type="pct"/>
            <w:tcBorders>
              <w:top w:val="nil"/>
              <w:left w:val="nil"/>
              <w:bottom w:val="nil"/>
              <w:right w:val="nil"/>
            </w:tcBorders>
            <w:shd w:val="clear" w:color="auto" w:fill="auto"/>
            <w:noWrap/>
            <w:vAlign w:val="bottom"/>
            <w:hideMark/>
          </w:tcPr>
          <w:p w14:paraId="54DCB27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199,00</w:t>
            </w:r>
          </w:p>
        </w:tc>
        <w:tc>
          <w:tcPr>
            <w:tcW w:w="660" w:type="pct"/>
            <w:tcBorders>
              <w:top w:val="nil"/>
              <w:left w:val="single" w:sz="4" w:space="0" w:color="95B3D7"/>
              <w:bottom w:val="nil"/>
              <w:right w:val="single" w:sz="4" w:space="0" w:color="95B3D7"/>
            </w:tcBorders>
            <w:shd w:val="clear" w:color="auto" w:fill="auto"/>
            <w:noWrap/>
            <w:vAlign w:val="bottom"/>
            <w:hideMark/>
          </w:tcPr>
          <w:p w14:paraId="31B8556E"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46,90</w:t>
            </w:r>
          </w:p>
        </w:tc>
        <w:tc>
          <w:tcPr>
            <w:tcW w:w="563" w:type="pct"/>
            <w:tcBorders>
              <w:top w:val="nil"/>
              <w:left w:val="nil"/>
              <w:bottom w:val="nil"/>
              <w:right w:val="nil"/>
            </w:tcBorders>
            <w:shd w:val="clear" w:color="auto" w:fill="auto"/>
            <w:noWrap/>
            <w:vAlign w:val="bottom"/>
            <w:hideMark/>
          </w:tcPr>
          <w:p w14:paraId="07B225A5"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23,57</w:t>
            </w:r>
          </w:p>
        </w:tc>
      </w:tr>
      <w:tr w:rsidR="003A7F68" w:rsidRPr="003A7F68" w14:paraId="10F23FD6"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322D33DF"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3225 Sitni inventar i </w:t>
            </w:r>
            <w:proofErr w:type="spellStart"/>
            <w:r w:rsidRPr="003A7F68">
              <w:rPr>
                <w:rFonts w:ascii="Calibri" w:hAnsi="Calibri"/>
                <w:color w:val="000000"/>
                <w:sz w:val="18"/>
                <w:szCs w:val="18"/>
              </w:rPr>
              <w:t>autogume</w:t>
            </w:r>
            <w:proofErr w:type="spellEnd"/>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B2BB72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6.645,00</w:t>
            </w:r>
          </w:p>
        </w:tc>
        <w:tc>
          <w:tcPr>
            <w:tcW w:w="667" w:type="pct"/>
            <w:tcBorders>
              <w:top w:val="single" w:sz="4" w:space="0" w:color="95B3D7"/>
              <w:left w:val="nil"/>
              <w:bottom w:val="single" w:sz="4" w:space="0" w:color="95B3D7"/>
              <w:right w:val="nil"/>
            </w:tcBorders>
            <w:shd w:val="clear" w:color="auto" w:fill="auto"/>
            <w:noWrap/>
            <w:vAlign w:val="bottom"/>
            <w:hideMark/>
          </w:tcPr>
          <w:p w14:paraId="271EDF9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6.645,00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6673633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3.451,30</w:t>
            </w:r>
          </w:p>
        </w:tc>
        <w:tc>
          <w:tcPr>
            <w:tcW w:w="563" w:type="pct"/>
            <w:tcBorders>
              <w:top w:val="single" w:sz="4" w:space="0" w:color="95B3D7"/>
              <w:left w:val="nil"/>
              <w:bottom w:val="single" w:sz="4" w:space="0" w:color="95B3D7"/>
              <w:right w:val="nil"/>
            </w:tcBorders>
            <w:shd w:val="clear" w:color="auto" w:fill="auto"/>
            <w:noWrap/>
            <w:vAlign w:val="bottom"/>
            <w:hideMark/>
          </w:tcPr>
          <w:p w14:paraId="73B20EE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51,94</w:t>
            </w:r>
          </w:p>
        </w:tc>
      </w:tr>
      <w:tr w:rsidR="003A7F68" w:rsidRPr="003A7F68" w14:paraId="68942289" w14:textId="77777777" w:rsidTr="003A7F68">
        <w:trPr>
          <w:trHeight w:val="300"/>
        </w:trPr>
        <w:tc>
          <w:tcPr>
            <w:tcW w:w="2450" w:type="pct"/>
            <w:tcBorders>
              <w:top w:val="nil"/>
              <w:left w:val="nil"/>
              <w:bottom w:val="nil"/>
              <w:right w:val="nil"/>
            </w:tcBorders>
            <w:shd w:val="clear" w:color="auto" w:fill="auto"/>
            <w:vAlign w:val="bottom"/>
            <w:hideMark/>
          </w:tcPr>
          <w:p w14:paraId="4D18C5D0"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3232 Usluge tekućeg i investicijskog </w:t>
            </w:r>
          </w:p>
          <w:p w14:paraId="3887A3B9" w14:textId="5508C920"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održavanja</w:t>
            </w:r>
          </w:p>
        </w:tc>
        <w:tc>
          <w:tcPr>
            <w:tcW w:w="660" w:type="pct"/>
            <w:tcBorders>
              <w:top w:val="nil"/>
              <w:left w:val="single" w:sz="4" w:space="0" w:color="95B3D7"/>
              <w:bottom w:val="nil"/>
              <w:right w:val="single" w:sz="4" w:space="0" w:color="95B3D7"/>
            </w:tcBorders>
            <w:shd w:val="clear" w:color="auto" w:fill="auto"/>
            <w:noWrap/>
            <w:vAlign w:val="bottom"/>
            <w:hideMark/>
          </w:tcPr>
          <w:p w14:paraId="46A0C5C6"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10.618,00</w:t>
            </w:r>
          </w:p>
        </w:tc>
        <w:tc>
          <w:tcPr>
            <w:tcW w:w="667" w:type="pct"/>
            <w:tcBorders>
              <w:top w:val="nil"/>
              <w:left w:val="nil"/>
              <w:bottom w:val="nil"/>
              <w:right w:val="nil"/>
            </w:tcBorders>
            <w:shd w:val="clear" w:color="auto" w:fill="auto"/>
            <w:noWrap/>
            <w:vAlign w:val="bottom"/>
            <w:hideMark/>
          </w:tcPr>
          <w:p w14:paraId="20D0276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10.618,00</w:t>
            </w:r>
          </w:p>
        </w:tc>
        <w:tc>
          <w:tcPr>
            <w:tcW w:w="660" w:type="pct"/>
            <w:tcBorders>
              <w:top w:val="nil"/>
              <w:left w:val="single" w:sz="4" w:space="0" w:color="95B3D7"/>
              <w:bottom w:val="nil"/>
              <w:right w:val="single" w:sz="4" w:space="0" w:color="95B3D7"/>
            </w:tcBorders>
            <w:shd w:val="clear" w:color="auto" w:fill="auto"/>
            <w:noWrap/>
            <w:vAlign w:val="bottom"/>
            <w:hideMark/>
          </w:tcPr>
          <w:p w14:paraId="6C84788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9.659,88</w:t>
            </w:r>
          </w:p>
        </w:tc>
        <w:tc>
          <w:tcPr>
            <w:tcW w:w="563" w:type="pct"/>
            <w:tcBorders>
              <w:top w:val="nil"/>
              <w:left w:val="nil"/>
              <w:bottom w:val="nil"/>
              <w:right w:val="nil"/>
            </w:tcBorders>
            <w:shd w:val="clear" w:color="auto" w:fill="auto"/>
            <w:noWrap/>
            <w:vAlign w:val="bottom"/>
            <w:hideMark/>
          </w:tcPr>
          <w:p w14:paraId="3110B247"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90,98</w:t>
            </w:r>
          </w:p>
        </w:tc>
      </w:tr>
      <w:tr w:rsidR="003A7F68" w:rsidRPr="003A7F68" w14:paraId="40259391" w14:textId="77777777" w:rsidTr="003A7F68">
        <w:trPr>
          <w:trHeight w:val="300"/>
        </w:trPr>
        <w:tc>
          <w:tcPr>
            <w:tcW w:w="2450" w:type="pct"/>
            <w:tcBorders>
              <w:top w:val="single" w:sz="4" w:space="0" w:color="95B3D7"/>
              <w:left w:val="nil"/>
              <w:bottom w:val="single" w:sz="4" w:space="0" w:color="95B3D7"/>
              <w:right w:val="nil"/>
            </w:tcBorders>
            <w:shd w:val="clear" w:color="auto" w:fill="auto"/>
            <w:vAlign w:val="bottom"/>
            <w:hideMark/>
          </w:tcPr>
          <w:p w14:paraId="15FDCC52"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3239 Ostale usluge</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494248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4.645,00</w:t>
            </w:r>
          </w:p>
        </w:tc>
        <w:tc>
          <w:tcPr>
            <w:tcW w:w="667" w:type="pct"/>
            <w:tcBorders>
              <w:top w:val="single" w:sz="4" w:space="0" w:color="95B3D7"/>
              <w:left w:val="nil"/>
              <w:bottom w:val="single" w:sz="4" w:space="0" w:color="95B3D7"/>
              <w:right w:val="nil"/>
            </w:tcBorders>
            <w:shd w:val="clear" w:color="auto" w:fill="auto"/>
            <w:noWrap/>
            <w:vAlign w:val="bottom"/>
            <w:hideMark/>
          </w:tcPr>
          <w:p w14:paraId="024943F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4.645,00</w:t>
            </w:r>
          </w:p>
        </w:tc>
        <w:tc>
          <w:tcPr>
            <w:tcW w:w="660" w:type="pct"/>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4FC1A2D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3.752,27</w:t>
            </w:r>
          </w:p>
        </w:tc>
        <w:tc>
          <w:tcPr>
            <w:tcW w:w="563" w:type="pct"/>
            <w:tcBorders>
              <w:top w:val="single" w:sz="4" w:space="0" w:color="95B3D7"/>
              <w:left w:val="nil"/>
              <w:bottom w:val="single" w:sz="4" w:space="0" w:color="95B3D7"/>
              <w:right w:val="nil"/>
            </w:tcBorders>
            <w:shd w:val="clear" w:color="auto" w:fill="auto"/>
            <w:noWrap/>
            <w:vAlign w:val="bottom"/>
            <w:hideMark/>
          </w:tcPr>
          <w:p w14:paraId="5291D85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80,78</w:t>
            </w:r>
          </w:p>
        </w:tc>
      </w:tr>
      <w:tr w:rsidR="003A7F68" w:rsidRPr="003A7F68" w14:paraId="464E6A79" w14:textId="77777777" w:rsidTr="003A7F68">
        <w:trPr>
          <w:trHeight w:val="300"/>
        </w:trPr>
        <w:tc>
          <w:tcPr>
            <w:tcW w:w="2450" w:type="pct"/>
            <w:tcBorders>
              <w:top w:val="nil"/>
              <w:left w:val="nil"/>
              <w:bottom w:val="nil"/>
              <w:right w:val="nil"/>
            </w:tcBorders>
            <w:shd w:val="clear" w:color="auto" w:fill="auto"/>
            <w:vAlign w:val="bottom"/>
            <w:hideMark/>
          </w:tcPr>
          <w:p w14:paraId="7C9AF538" w14:textId="77777777"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3292 Premije osiguranja</w:t>
            </w:r>
          </w:p>
        </w:tc>
        <w:tc>
          <w:tcPr>
            <w:tcW w:w="660" w:type="pct"/>
            <w:tcBorders>
              <w:top w:val="nil"/>
              <w:left w:val="single" w:sz="4" w:space="0" w:color="95B3D7"/>
              <w:bottom w:val="nil"/>
              <w:right w:val="single" w:sz="4" w:space="0" w:color="95B3D7"/>
            </w:tcBorders>
            <w:shd w:val="clear" w:color="auto" w:fill="auto"/>
            <w:noWrap/>
            <w:vAlign w:val="bottom"/>
            <w:hideMark/>
          </w:tcPr>
          <w:p w14:paraId="5FBE537D"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7.963,00</w:t>
            </w:r>
          </w:p>
        </w:tc>
        <w:tc>
          <w:tcPr>
            <w:tcW w:w="667" w:type="pct"/>
            <w:tcBorders>
              <w:top w:val="nil"/>
              <w:left w:val="nil"/>
              <w:bottom w:val="nil"/>
              <w:right w:val="nil"/>
            </w:tcBorders>
            <w:shd w:val="clear" w:color="auto" w:fill="auto"/>
            <w:noWrap/>
            <w:vAlign w:val="bottom"/>
            <w:hideMark/>
          </w:tcPr>
          <w:p w14:paraId="2395BCDA"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7.963,00</w:t>
            </w:r>
          </w:p>
        </w:tc>
        <w:tc>
          <w:tcPr>
            <w:tcW w:w="660" w:type="pct"/>
            <w:tcBorders>
              <w:top w:val="nil"/>
              <w:left w:val="single" w:sz="4" w:space="0" w:color="95B3D7"/>
              <w:bottom w:val="nil"/>
              <w:right w:val="single" w:sz="4" w:space="0" w:color="95B3D7"/>
            </w:tcBorders>
            <w:shd w:val="clear" w:color="auto" w:fill="auto"/>
            <w:noWrap/>
            <w:vAlign w:val="bottom"/>
            <w:hideMark/>
          </w:tcPr>
          <w:p w14:paraId="427AB3E3"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9.029,72</w:t>
            </w:r>
          </w:p>
        </w:tc>
        <w:tc>
          <w:tcPr>
            <w:tcW w:w="563" w:type="pct"/>
            <w:tcBorders>
              <w:top w:val="nil"/>
              <w:left w:val="nil"/>
              <w:bottom w:val="nil"/>
              <w:right w:val="nil"/>
            </w:tcBorders>
            <w:shd w:val="clear" w:color="auto" w:fill="auto"/>
            <w:noWrap/>
            <w:vAlign w:val="bottom"/>
            <w:hideMark/>
          </w:tcPr>
          <w:p w14:paraId="7853EA3F"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113,40</w:t>
            </w:r>
          </w:p>
        </w:tc>
      </w:tr>
      <w:tr w:rsidR="003A7F68" w:rsidRPr="003A7F68" w14:paraId="1B9FA3BB" w14:textId="77777777" w:rsidTr="003A7F68">
        <w:trPr>
          <w:trHeight w:val="300"/>
        </w:trPr>
        <w:tc>
          <w:tcPr>
            <w:tcW w:w="2450" w:type="pct"/>
            <w:tcBorders>
              <w:top w:val="single" w:sz="4" w:space="0" w:color="95B3D7"/>
              <w:left w:val="nil"/>
              <w:bottom w:val="single" w:sz="4" w:space="0" w:color="95B3D7"/>
              <w:right w:val="nil"/>
            </w:tcBorders>
            <w:shd w:val="clear" w:color="000000" w:fill="DCE6F1"/>
            <w:vAlign w:val="bottom"/>
            <w:hideMark/>
          </w:tcPr>
          <w:p w14:paraId="495779E6"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34 Financijski rashodi</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BEC5382"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14.412,00</w:t>
            </w:r>
          </w:p>
        </w:tc>
        <w:tc>
          <w:tcPr>
            <w:tcW w:w="667" w:type="pct"/>
            <w:tcBorders>
              <w:top w:val="single" w:sz="4" w:space="0" w:color="95B3D7"/>
              <w:left w:val="nil"/>
              <w:bottom w:val="single" w:sz="4" w:space="0" w:color="95B3D7"/>
              <w:right w:val="nil"/>
            </w:tcBorders>
            <w:shd w:val="clear" w:color="000000" w:fill="DCE6F1"/>
            <w:noWrap/>
            <w:vAlign w:val="bottom"/>
            <w:hideMark/>
          </w:tcPr>
          <w:p w14:paraId="744C6BBA"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14.412,00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2CDC60B"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10.820,16</w:t>
            </w:r>
          </w:p>
        </w:tc>
        <w:tc>
          <w:tcPr>
            <w:tcW w:w="563" w:type="pct"/>
            <w:tcBorders>
              <w:top w:val="single" w:sz="4" w:space="0" w:color="95B3D7"/>
              <w:left w:val="nil"/>
              <w:bottom w:val="single" w:sz="4" w:space="0" w:color="95B3D7"/>
              <w:right w:val="nil"/>
            </w:tcBorders>
            <w:shd w:val="clear" w:color="000000" w:fill="DCE6F1"/>
            <w:noWrap/>
            <w:vAlign w:val="bottom"/>
            <w:hideMark/>
          </w:tcPr>
          <w:p w14:paraId="1B33570F"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75,08</w:t>
            </w:r>
          </w:p>
        </w:tc>
      </w:tr>
      <w:tr w:rsidR="003A7F68" w:rsidRPr="003A7F68" w14:paraId="026FE157" w14:textId="77777777" w:rsidTr="003A7F68">
        <w:trPr>
          <w:trHeight w:val="495"/>
        </w:trPr>
        <w:tc>
          <w:tcPr>
            <w:tcW w:w="2450" w:type="pct"/>
            <w:tcBorders>
              <w:top w:val="nil"/>
              <w:left w:val="nil"/>
              <w:bottom w:val="nil"/>
              <w:right w:val="nil"/>
            </w:tcBorders>
            <w:shd w:val="clear" w:color="auto" w:fill="auto"/>
            <w:vAlign w:val="bottom"/>
            <w:hideMark/>
          </w:tcPr>
          <w:p w14:paraId="05528BEC"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3423 Kamate za primljene kredite i zajmove </w:t>
            </w:r>
          </w:p>
          <w:p w14:paraId="75FFC3A9"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od kreditnih i ostalih institucija izvan javnog </w:t>
            </w:r>
          </w:p>
          <w:p w14:paraId="56590922" w14:textId="6247C28F"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sektora</w:t>
            </w:r>
          </w:p>
        </w:tc>
        <w:tc>
          <w:tcPr>
            <w:tcW w:w="660" w:type="pct"/>
            <w:tcBorders>
              <w:top w:val="nil"/>
              <w:left w:val="single" w:sz="4" w:space="0" w:color="95B3D7"/>
              <w:bottom w:val="nil"/>
              <w:right w:val="single" w:sz="4" w:space="0" w:color="95B3D7"/>
            </w:tcBorders>
            <w:shd w:val="clear" w:color="auto" w:fill="auto"/>
            <w:noWrap/>
            <w:vAlign w:val="bottom"/>
            <w:hideMark/>
          </w:tcPr>
          <w:p w14:paraId="30C05324"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14.412,00</w:t>
            </w:r>
          </w:p>
        </w:tc>
        <w:tc>
          <w:tcPr>
            <w:tcW w:w="667" w:type="pct"/>
            <w:tcBorders>
              <w:top w:val="nil"/>
              <w:left w:val="nil"/>
              <w:bottom w:val="nil"/>
              <w:right w:val="nil"/>
            </w:tcBorders>
            <w:shd w:val="clear" w:color="auto" w:fill="auto"/>
            <w:noWrap/>
            <w:vAlign w:val="bottom"/>
            <w:hideMark/>
          </w:tcPr>
          <w:p w14:paraId="5D42543C"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14.412,00</w:t>
            </w:r>
          </w:p>
        </w:tc>
        <w:tc>
          <w:tcPr>
            <w:tcW w:w="660" w:type="pct"/>
            <w:tcBorders>
              <w:top w:val="nil"/>
              <w:left w:val="single" w:sz="4" w:space="0" w:color="95B3D7"/>
              <w:bottom w:val="nil"/>
              <w:right w:val="single" w:sz="4" w:space="0" w:color="95B3D7"/>
            </w:tcBorders>
            <w:shd w:val="clear" w:color="auto" w:fill="auto"/>
            <w:noWrap/>
            <w:vAlign w:val="bottom"/>
            <w:hideMark/>
          </w:tcPr>
          <w:p w14:paraId="54A65890"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10.820,16</w:t>
            </w:r>
          </w:p>
        </w:tc>
        <w:tc>
          <w:tcPr>
            <w:tcW w:w="563" w:type="pct"/>
            <w:tcBorders>
              <w:top w:val="nil"/>
              <w:left w:val="nil"/>
              <w:bottom w:val="nil"/>
              <w:right w:val="nil"/>
            </w:tcBorders>
            <w:shd w:val="clear" w:color="auto" w:fill="auto"/>
            <w:noWrap/>
            <w:vAlign w:val="bottom"/>
            <w:hideMark/>
          </w:tcPr>
          <w:p w14:paraId="0CA0733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75,08</w:t>
            </w:r>
          </w:p>
        </w:tc>
      </w:tr>
      <w:tr w:rsidR="003A7F68" w:rsidRPr="003A7F68" w14:paraId="2E4D2E59" w14:textId="77777777" w:rsidTr="003A7F68">
        <w:trPr>
          <w:trHeight w:val="300"/>
        </w:trPr>
        <w:tc>
          <w:tcPr>
            <w:tcW w:w="2450" w:type="pct"/>
            <w:tcBorders>
              <w:top w:val="single" w:sz="4" w:space="0" w:color="95B3D7"/>
              <w:left w:val="nil"/>
              <w:bottom w:val="single" w:sz="4" w:space="0" w:color="95B3D7"/>
              <w:right w:val="nil"/>
            </w:tcBorders>
            <w:shd w:val="clear" w:color="000000" w:fill="DCE6F1"/>
            <w:vAlign w:val="bottom"/>
            <w:hideMark/>
          </w:tcPr>
          <w:p w14:paraId="19248579" w14:textId="77777777" w:rsidR="003A7F68" w:rsidRPr="003A7F68" w:rsidRDefault="003A7F68" w:rsidP="003A7F68">
            <w:pPr>
              <w:widowControl/>
              <w:autoSpaceDE/>
              <w:autoSpaceDN/>
              <w:adjustRightInd/>
              <w:ind w:firstLineChars="600" w:firstLine="1080"/>
              <w:jc w:val="left"/>
              <w:rPr>
                <w:rFonts w:ascii="Calibri" w:hAnsi="Calibri"/>
                <w:b/>
                <w:bCs/>
                <w:color w:val="000000"/>
                <w:sz w:val="18"/>
                <w:szCs w:val="18"/>
              </w:rPr>
            </w:pPr>
            <w:r w:rsidRPr="003A7F68">
              <w:rPr>
                <w:rFonts w:ascii="Calibri" w:hAnsi="Calibri"/>
                <w:b/>
                <w:bCs/>
                <w:color w:val="000000"/>
                <w:sz w:val="18"/>
                <w:szCs w:val="18"/>
              </w:rPr>
              <w:t>42 Rashodi za nabavu proizvedene dugotrajne imovine</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292135A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116.311,00</w:t>
            </w:r>
          </w:p>
        </w:tc>
        <w:tc>
          <w:tcPr>
            <w:tcW w:w="667" w:type="pct"/>
            <w:tcBorders>
              <w:top w:val="single" w:sz="4" w:space="0" w:color="95B3D7"/>
              <w:left w:val="nil"/>
              <w:bottom w:val="single" w:sz="4" w:space="0" w:color="95B3D7"/>
              <w:right w:val="nil"/>
            </w:tcBorders>
            <w:shd w:val="clear" w:color="000000" w:fill="DCE6F1"/>
            <w:noWrap/>
            <w:vAlign w:val="bottom"/>
            <w:hideMark/>
          </w:tcPr>
          <w:p w14:paraId="7A13DEBE"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116.311,00</w:t>
            </w:r>
          </w:p>
        </w:tc>
        <w:tc>
          <w:tcPr>
            <w:tcW w:w="660" w:type="pct"/>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7551D2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104.329,99</w:t>
            </w:r>
          </w:p>
        </w:tc>
        <w:tc>
          <w:tcPr>
            <w:tcW w:w="563" w:type="pct"/>
            <w:tcBorders>
              <w:top w:val="single" w:sz="4" w:space="0" w:color="95B3D7"/>
              <w:left w:val="nil"/>
              <w:bottom w:val="single" w:sz="4" w:space="0" w:color="95B3D7"/>
              <w:right w:val="nil"/>
            </w:tcBorders>
            <w:shd w:val="clear" w:color="000000" w:fill="DCE6F1"/>
            <w:noWrap/>
            <w:vAlign w:val="bottom"/>
            <w:hideMark/>
          </w:tcPr>
          <w:p w14:paraId="474B4970"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89,70</w:t>
            </w:r>
          </w:p>
        </w:tc>
      </w:tr>
      <w:tr w:rsidR="003A7F68" w:rsidRPr="003A7F68" w14:paraId="2D434C60" w14:textId="77777777" w:rsidTr="003A7F68">
        <w:trPr>
          <w:trHeight w:val="300"/>
        </w:trPr>
        <w:tc>
          <w:tcPr>
            <w:tcW w:w="2450" w:type="pct"/>
            <w:tcBorders>
              <w:top w:val="nil"/>
              <w:left w:val="nil"/>
              <w:bottom w:val="nil"/>
              <w:right w:val="nil"/>
            </w:tcBorders>
            <w:shd w:val="clear" w:color="auto" w:fill="auto"/>
            <w:vAlign w:val="bottom"/>
            <w:hideMark/>
          </w:tcPr>
          <w:p w14:paraId="24976361" w14:textId="77777777" w:rsid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 xml:space="preserve">4231 Prijevozna sredstva u cestovnom </w:t>
            </w:r>
          </w:p>
          <w:p w14:paraId="61F7CBF2" w14:textId="72EDB721" w:rsidR="003A7F68" w:rsidRPr="003A7F68" w:rsidRDefault="003A7F68" w:rsidP="003A7F68">
            <w:pPr>
              <w:widowControl/>
              <w:autoSpaceDE/>
              <w:autoSpaceDN/>
              <w:adjustRightInd/>
              <w:ind w:firstLineChars="700" w:firstLine="1260"/>
              <w:jc w:val="left"/>
              <w:rPr>
                <w:rFonts w:ascii="Calibri" w:hAnsi="Calibri"/>
                <w:color w:val="000000"/>
                <w:sz w:val="18"/>
                <w:szCs w:val="18"/>
              </w:rPr>
            </w:pPr>
            <w:r w:rsidRPr="003A7F68">
              <w:rPr>
                <w:rFonts w:ascii="Calibri" w:hAnsi="Calibri"/>
                <w:color w:val="000000"/>
                <w:sz w:val="18"/>
                <w:szCs w:val="18"/>
              </w:rPr>
              <w:t>prometu</w:t>
            </w:r>
          </w:p>
        </w:tc>
        <w:tc>
          <w:tcPr>
            <w:tcW w:w="660" w:type="pct"/>
            <w:tcBorders>
              <w:top w:val="nil"/>
              <w:left w:val="single" w:sz="4" w:space="0" w:color="95B3D7"/>
              <w:bottom w:val="nil"/>
              <w:right w:val="single" w:sz="4" w:space="0" w:color="95B3D7"/>
            </w:tcBorders>
            <w:shd w:val="clear" w:color="auto" w:fill="auto"/>
            <w:noWrap/>
            <w:vAlign w:val="bottom"/>
            <w:hideMark/>
          </w:tcPr>
          <w:p w14:paraId="7A57E4EB"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116.311,00</w:t>
            </w:r>
          </w:p>
        </w:tc>
        <w:tc>
          <w:tcPr>
            <w:tcW w:w="667" w:type="pct"/>
            <w:tcBorders>
              <w:top w:val="nil"/>
              <w:left w:val="nil"/>
              <w:bottom w:val="nil"/>
              <w:right w:val="nil"/>
            </w:tcBorders>
            <w:shd w:val="clear" w:color="auto" w:fill="auto"/>
            <w:noWrap/>
            <w:vAlign w:val="bottom"/>
            <w:hideMark/>
          </w:tcPr>
          <w:p w14:paraId="18F5FBB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116.311,00</w:t>
            </w:r>
          </w:p>
        </w:tc>
        <w:tc>
          <w:tcPr>
            <w:tcW w:w="660" w:type="pct"/>
            <w:tcBorders>
              <w:top w:val="nil"/>
              <w:left w:val="single" w:sz="4" w:space="0" w:color="95B3D7"/>
              <w:bottom w:val="nil"/>
              <w:right w:val="single" w:sz="4" w:space="0" w:color="95B3D7"/>
            </w:tcBorders>
            <w:shd w:val="clear" w:color="auto" w:fill="auto"/>
            <w:noWrap/>
            <w:vAlign w:val="bottom"/>
            <w:hideMark/>
          </w:tcPr>
          <w:p w14:paraId="2FC57391"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104.329,99</w:t>
            </w:r>
          </w:p>
        </w:tc>
        <w:tc>
          <w:tcPr>
            <w:tcW w:w="563" w:type="pct"/>
            <w:tcBorders>
              <w:top w:val="nil"/>
              <w:left w:val="nil"/>
              <w:bottom w:val="nil"/>
              <w:right w:val="nil"/>
            </w:tcBorders>
            <w:shd w:val="clear" w:color="auto" w:fill="auto"/>
            <w:noWrap/>
            <w:vAlign w:val="bottom"/>
            <w:hideMark/>
          </w:tcPr>
          <w:p w14:paraId="44EF5958" w14:textId="77777777" w:rsidR="003A7F68" w:rsidRPr="003A7F68" w:rsidRDefault="003A7F68" w:rsidP="003A7F68">
            <w:pPr>
              <w:widowControl/>
              <w:autoSpaceDE/>
              <w:autoSpaceDN/>
              <w:adjustRightInd/>
              <w:jc w:val="right"/>
              <w:rPr>
                <w:rFonts w:ascii="Calibri" w:hAnsi="Calibri"/>
                <w:color w:val="000000"/>
                <w:sz w:val="18"/>
                <w:szCs w:val="18"/>
              </w:rPr>
            </w:pPr>
            <w:r w:rsidRPr="003A7F68">
              <w:rPr>
                <w:rFonts w:ascii="Calibri" w:hAnsi="Calibri"/>
                <w:color w:val="000000"/>
                <w:sz w:val="18"/>
                <w:szCs w:val="18"/>
              </w:rPr>
              <w:t>89,70</w:t>
            </w:r>
          </w:p>
        </w:tc>
      </w:tr>
      <w:tr w:rsidR="003A7F68" w:rsidRPr="003A7F68" w14:paraId="2096A866" w14:textId="77777777" w:rsidTr="003A7F68">
        <w:trPr>
          <w:trHeight w:val="300"/>
        </w:trPr>
        <w:tc>
          <w:tcPr>
            <w:tcW w:w="2450" w:type="pct"/>
            <w:tcBorders>
              <w:top w:val="single" w:sz="4" w:space="0" w:color="366092"/>
              <w:left w:val="nil"/>
              <w:bottom w:val="single" w:sz="8" w:space="0" w:color="366092"/>
              <w:right w:val="nil"/>
            </w:tcBorders>
            <w:shd w:val="clear" w:color="000000" w:fill="92CDDC"/>
            <w:noWrap/>
            <w:vAlign w:val="bottom"/>
            <w:hideMark/>
          </w:tcPr>
          <w:p w14:paraId="09D5DCB0" w14:textId="77777777" w:rsidR="003A7F68" w:rsidRPr="003A7F68" w:rsidRDefault="003A7F68" w:rsidP="003A7F68">
            <w:pPr>
              <w:widowControl/>
              <w:autoSpaceDE/>
              <w:autoSpaceDN/>
              <w:adjustRightInd/>
              <w:jc w:val="left"/>
              <w:rPr>
                <w:rFonts w:ascii="Calibri" w:hAnsi="Calibri"/>
                <w:b/>
                <w:bCs/>
                <w:color w:val="000000"/>
                <w:sz w:val="18"/>
                <w:szCs w:val="18"/>
              </w:rPr>
            </w:pPr>
            <w:r w:rsidRPr="003A7F68">
              <w:rPr>
                <w:rFonts w:ascii="Calibri" w:hAnsi="Calibri"/>
                <w:b/>
                <w:bCs/>
                <w:color w:val="000000"/>
                <w:sz w:val="18"/>
                <w:szCs w:val="18"/>
              </w:rPr>
              <w:t>Ukupni zbroj</w:t>
            </w:r>
          </w:p>
        </w:tc>
        <w:tc>
          <w:tcPr>
            <w:tcW w:w="660" w:type="pct"/>
            <w:tcBorders>
              <w:top w:val="single" w:sz="4" w:space="0" w:color="366092"/>
              <w:left w:val="single" w:sz="4" w:space="0" w:color="95B3D7"/>
              <w:bottom w:val="single" w:sz="8" w:space="0" w:color="366092"/>
              <w:right w:val="single" w:sz="4" w:space="0" w:color="95B3D7"/>
            </w:tcBorders>
            <w:shd w:val="clear" w:color="000000" w:fill="92CDDC"/>
            <w:noWrap/>
            <w:vAlign w:val="bottom"/>
            <w:hideMark/>
          </w:tcPr>
          <w:p w14:paraId="6C800F4C"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14.406.098,00</w:t>
            </w:r>
          </w:p>
        </w:tc>
        <w:tc>
          <w:tcPr>
            <w:tcW w:w="667" w:type="pct"/>
            <w:tcBorders>
              <w:top w:val="single" w:sz="4" w:space="0" w:color="366092"/>
              <w:left w:val="nil"/>
              <w:bottom w:val="single" w:sz="8" w:space="0" w:color="366092"/>
              <w:right w:val="nil"/>
            </w:tcBorders>
            <w:shd w:val="clear" w:color="000000" w:fill="92CDDC"/>
            <w:noWrap/>
            <w:vAlign w:val="bottom"/>
            <w:hideMark/>
          </w:tcPr>
          <w:p w14:paraId="07D7BBC4"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11.244.276,00</w:t>
            </w:r>
          </w:p>
        </w:tc>
        <w:tc>
          <w:tcPr>
            <w:tcW w:w="660" w:type="pct"/>
            <w:tcBorders>
              <w:top w:val="single" w:sz="4" w:space="0" w:color="366092"/>
              <w:left w:val="single" w:sz="4" w:space="0" w:color="95B3D7"/>
              <w:bottom w:val="single" w:sz="8" w:space="0" w:color="366092"/>
              <w:right w:val="single" w:sz="4" w:space="0" w:color="95B3D7"/>
            </w:tcBorders>
            <w:shd w:val="clear" w:color="000000" w:fill="92CDDC"/>
            <w:noWrap/>
            <w:vAlign w:val="bottom"/>
            <w:hideMark/>
          </w:tcPr>
          <w:p w14:paraId="7A4B0A11"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11.062.318,02</w:t>
            </w:r>
          </w:p>
        </w:tc>
        <w:tc>
          <w:tcPr>
            <w:tcW w:w="563" w:type="pct"/>
            <w:tcBorders>
              <w:top w:val="single" w:sz="4" w:space="0" w:color="366092"/>
              <w:left w:val="nil"/>
              <w:bottom w:val="single" w:sz="8" w:space="0" w:color="366092"/>
              <w:right w:val="nil"/>
            </w:tcBorders>
            <w:shd w:val="clear" w:color="000000" w:fill="92CDDC"/>
            <w:noWrap/>
            <w:vAlign w:val="bottom"/>
            <w:hideMark/>
          </w:tcPr>
          <w:p w14:paraId="2BCE3366" w14:textId="77777777" w:rsidR="003A7F68" w:rsidRPr="003A7F68" w:rsidRDefault="003A7F68" w:rsidP="003A7F68">
            <w:pPr>
              <w:widowControl/>
              <w:autoSpaceDE/>
              <w:autoSpaceDN/>
              <w:adjustRightInd/>
              <w:jc w:val="right"/>
              <w:rPr>
                <w:rFonts w:ascii="Calibri" w:hAnsi="Calibri"/>
                <w:b/>
                <w:bCs/>
                <w:color w:val="000000"/>
                <w:sz w:val="18"/>
                <w:szCs w:val="18"/>
              </w:rPr>
            </w:pPr>
            <w:r w:rsidRPr="003A7F68">
              <w:rPr>
                <w:rFonts w:ascii="Calibri" w:hAnsi="Calibri"/>
                <w:b/>
                <w:bCs/>
                <w:color w:val="000000"/>
                <w:sz w:val="18"/>
                <w:szCs w:val="18"/>
              </w:rPr>
              <w:t>98,38</w:t>
            </w:r>
          </w:p>
        </w:tc>
      </w:tr>
    </w:tbl>
    <w:p w14:paraId="5B2CB643" w14:textId="77777777" w:rsidR="003A7F68" w:rsidRDefault="003A7F68" w:rsidP="0084232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rPr>
      </w:pPr>
    </w:p>
    <w:p w14:paraId="40E5F598" w14:textId="3BAEBAAF" w:rsidR="00584B60" w:rsidRPr="00584B60" w:rsidRDefault="00584B60" w:rsidP="00584B60">
      <w:pPr>
        <w:ind w:firstLine="709"/>
      </w:pPr>
      <w:bookmarkStart w:id="4" w:name="_Toc116889209"/>
      <w:r w:rsidRPr="00584B60">
        <w:t xml:space="preserve">Prema podacima navedenim u tablici broj </w:t>
      </w:r>
      <w:r w:rsidRPr="000B2292">
        <w:rPr>
          <w:color w:val="000000" w:themeColor="text1"/>
        </w:rPr>
        <w:t>5</w:t>
      </w:r>
      <w:r w:rsidRPr="00584B60">
        <w:t xml:space="preserve">, </w:t>
      </w:r>
      <w:r w:rsidR="00677454" w:rsidRPr="00584B60">
        <w:t xml:space="preserve">rashodi su </w:t>
      </w:r>
      <w:r w:rsidRPr="00584B60">
        <w:t xml:space="preserve">izvršeni u iznosu od </w:t>
      </w:r>
      <w:r>
        <w:t>11.062.318,02</w:t>
      </w:r>
      <w:r w:rsidRPr="00584B60">
        <w:t xml:space="preserve"> </w:t>
      </w:r>
      <w:r w:rsidR="001B5725">
        <w:t>eura</w:t>
      </w:r>
      <w:r w:rsidRPr="00584B60">
        <w:t xml:space="preserve">, što čini </w:t>
      </w:r>
      <w:r>
        <w:t>98,38</w:t>
      </w:r>
      <w:r w:rsidRPr="00584B60">
        <w:t xml:space="preserve"> % tekućeg plana za 2023. </w:t>
      </w:r>
    </w:p>
    <w:p w14:paraId="5877AFA9" w14:textId="07F7F0EF" w:rsidR="00584B60" w:rsidRDefault="00584B60" w:rsidP="00A350A2">
      <w:r w:rsidRPr="00584B60">
        <w:t xml:space="preserve"> </w:t>
      </w:r>
      <w:r>
        <w:tab/>
      </w:r>
      <w:r w:rsidRPr="00584B60">
        <w:t>Navedeni podaci se odnose na Program 2028, Djelovanje Državnog ureda za reviziju te Aktivnost 665000 Administracija i upravljanje, kao i na projekt K665001 Informatizacija t</w:t>
      </w:r>
      <w:r w:rsidR="00A350A2">
        <w:t xml:space="preserve">e K665002 Obnova voznog parka. </w:t>
      </w:r>
    </w:p>
    <w:p w14:paraId="4DE2B127" w14:textId="77777777" w:rsidR="00A350A2" w:rsidRDefault="00A350A2" w:rsidP="00A350A2"/>
    <w:p w14:paraId="2854F6BB" w14:textId="77777777" w:rsidR="00A350A2" w:rsidRPr="00A350A2" w:rsidRDefault="00A350A2" w:rsidP="00A350A2"/>
    <w:p w14:paraId="5A9FC3EA" w14:textId="529926F0" w:rsidR="004E0224" w:rsidRPr="00CF1259" w:rsidRDefault="004E0224" w:rsidP="004E0224">
      <w:pPr>
        <w:pStyle w:val="Naslov3"/>
        <w:rPr>
          <w:rFonts w:ascii="Arial" w:hAnsi="Arial" w:cs="Arial"/>
          <w:b/>
          <w:bCs/>
          <w:i/>
          <w:iCs/>
          <w:color w:val="auto"/>
        </w:rPr>
      </w:pPr>
      <w:bookmarkStart w:id="5" w:name="_Toc162444741"/>
      <w:r w:rsidRPr="00CF1259">
        <w:rPr>
          <w:rFonts w:ascii="Arial" w:hAnsi="Arial" w:cs="Arial"/>
          <w:b/>
          <w:bCs/>
          <w:i/>
          <w:iCs/>
          <w:color w:val="auto"/>
        </w:rPr>
        <w:t>2.2.1 Aktivnost A 665000 – Administracija i upravljanje</w:t>
      </w:r>
      <w:bookmarkEnd w:id="5"/>
    </w:p>
    <w:p w14:paraId="3E2BD7CD" w14:textId="77777777" w:rsidR="004E0224" w:rsidRPr="00CA357C" w:rsidRDefault="004E0224" w:rsidP="004E0224">
      <w:pPr>
        <w:tabs>
          <w:tab w:val="left" w:pos="113"/>
          <w:tab w:val="left" w:pos="993"/>
        </w:tabs>
        <w:ind w:firstLine="567"/>
        <w:rPr>
          <w:rFonts w:cs="Arial"/>
          <w:b/>
          <w:color w:val="000000"/>
        </w:rPr>
      </w:pPr>
    </w:p>
    <w:p w14:paraId="3302AD9D" w14:textId="40168C8C" w:rsidR="004E0224" w:rsidRPr="00CA357C" w:rsidRDefault="004E0224" w:rsidP="004E0224">
      <w:pPr>
        <w:pStyle w:val="Odlomakpopisa"/>
        <w:ind w:left="0" w:firstLine="567"/>
        <w:rPr>
          <w:rFonts w:cs="Arial"/>
          <w:color w:val="000000"/>
        </w:rPr>
      </w:pPr>
      <w:r w:rsidRPr="00CA357C">
        <w:rPr>
          <w:rFonts w:cs="Arial"/>
          <w:color w:val="000000"/>
        </w:rPr>
        <w:t>Aktivnost A 665000 – Administracija i upravljanje podrazumijeva poslove revizije i druge poslove neophodne za uspješno djelovanje Državnog ureda za reviziju.</w:t>
      </w:r>
      <w:r>
        <w:rPr>
          <w:rFonts w:cs="Arial"/>
          <w:color w:val="000000"/>
        </w:rPr>
        <w:t xml:space="preserve"> Rashodi za aktivnost </w:t>
      </w:r>
      <w:r w:rsidRPr="00CA357C">
        <w:rPr>
          <w:rFonts w:cs="Arial"/>
          <w:color w:val="000000"/>
        </w:rPr>
        <w:t xml:space="preserve">A 665000 – Administracija i upravljanje za navedeno izvještajno razdoblje </w:t>
      </w:r>
      <w:r>
        <w:rPr>
          <w:rFonts w:cs="Arial"/>
          <w:color w:val="000000"/>
        </w:rPr>
        <w:t xml:space="preserve">izvršeni </w:t>
      </w:r>
      <w:r w:rsidRPr="00CA357C">
        <w:rPr>
          <w:rFonts w:cs="Arial"/>
          <w:color w:val="000000"/>
        </w:rPr>
        <w:t xml:space="preserve"> su u</w:t>
      </w:r>
      <w:r>
        <w:rPr>
          <w:rFonts w:cs="Arial"/>
          <w:color w:val="000000"/>
        </w:rPr>
        <w:t xml:space="preserve"> ukupnom iznosu od </w:t>
      </w:r>
      <w:r w:rsidR="006A3809">
        <w:rPr>
          <w:rFonts w:cs="Arial"/>
          <w:color w:val="000000"/>
        </w:rPr>
        <w:t>10.608.072,58</w:t>
      </w:r>
      <w:r>
        <w:rPr>
          <w:rFonts w:cs="Arial"/>
          <w:color w:val="000000"/>
        </w:rPr>
        <w:t xml:space="preserve"> </w:t>
      </w:r>
      <w:r w:rsidR="001B5725">
        <w:rPr>
          <w:rFonts w:cs="Arial"/>
          <w:color w:val="000000"/>
        </w:rPr>
        <w:t>eura</w:t>
      </w:r>
      <w:r>
        <w:rPr>
          <w:rFonts w:cs="Arial"/>
          <w:color w:val="000000"/>
        </w:rPr>
        <w:t>,</w:t>
      </w:r>
      <w:r w:rsidRPr="00CA357C">
        <w:rPr>
          <w:rFonts w:cs="Arial"/>
          <w:color w:val="000000"/>
        </w:rPr>
        <w:t xml:space="preserve"> koja se financira iz Izvora Opći prihodi i primici (Izvor 11) u iznosu od </w:t>
      </w:r>
      <w:r w:rsidR="006A3809">
        <w:rPr>
          <w:rFonts w:cs="Arial"/>
          <w:color w:val="000000"/>
        </w:rPr>
        <w:t>10.115.897,51</w:t>
      </w:r>
      <w:r w:rsidRPr="00CA357C">
        <w:rPr>
          <w:rFonts w:cs="Arial"/>
          <w:color w:val="000000"/>
        </w:rPr>
        <w:t xml:space="preserve"> </w:t>
      </w:r>
      <w:r w:rsidR="001B5725">
        <w:rPr>
          <w:rFonts w:cs="Arial"/>
          <w:color w:val="000000"/>
        </w:rPr>
        <w:t>euro</w:t>
      </w:r>
      <w:r w:rsidRPr="00CA357C">
        <w:rPr>
          <w:rFonts w:cs="Arial"/>
          <w:color w:val="000000"/>
        </w:rPr>
        <w:t xml:space="preserve">, iz Izvora Vlastiti prihodi (Izvor 31) u iznosu od </w:t>
      </w:r>
      <w:r w:rsidR="006A3809">
        <w:rPr>
          <w:rFonts w:cs="Arial"/>
          <w:color w:val="000000"/>
        </w:rPr>
        <w:t>134.458,08</w:t>
      </w:r>
      <w:r w:rsidRPr="00CA357C">
        <w:rPr>
          <w:rFonts w:cs="Arial"/>
          <w:color w:val="000000"/>
        </w:rPr>
        <w:t xml:space="preserve"> </w:t>
      </w:r>
      <w:r w:rsidR="001B5725">
        <w:rPr>
          <w:rFonts w:cs="Arial"/>
          <w:color w:val="000000"/>
        </w:rPr>
        <w:t>eura</w:t>
      </w:r>
      <w:r w:rsidRPr="00CA357C">
        <w:rPr>
          <w:rFonts w:cs="Arial"/>
          <w:color w:val="000000"/>
        </w:rPr>
        <w:t xml:space="preserve"> te Izvora Fond solidarnosti EU – potres ožujak 2020. (Iz</w:t>
      </w:r>
      <w:r>
        <w:rPr>
          <w:rFonts w:cs="Arial"/>
          <w:color w:val="000000"/>
        </w:rPr>
        <w:t>vor 5761) u iznosu od 357.</w:t>
      </w:r>
      <w:r w:rsidR="006A3809">
        <w:rPr>
          <w:rFonts w:cs="Arial"/>
          <w:color w:val="000000"/>
        </w:rPr>
        <w:t>716,99</w:t>
      </w:r>
      <w:r w:rsidRPr="00CA357C">
        <w:rPr>
          <w:rFonts w:cs="Arial"/>
          <w:color w:val="000000"/>
        </w:rPr>
        <w:t xml:space="preserve"> </w:t>
      </w:r>
      <w:r w:rsidR="001B5725">
        <w:rPr>
          <w:rFonts w:cs="Arial"/>
          <w:color w:val="000000"/>
        </w:rPr>
        <w:t>eura</w:t>
      </w:r>
      <w:r w:rsidRPr="00CA357C">
        <w:rPr>
          <w:rFonts w:cs="Arial"/>
          <w:color w:val="000000"/>
        </w:rPr>
        <w:t>.</w:t>
      </w:r>
    </w:p>
    <w:p w14:paraId="08CB2739" w14:textId="77777777" w:rsidR="004E0224" w:rsidRPr="00CA357C" w:rsidRDefault="004E0224" w:rsidP="004E0224">
      <w:pPr>
        <w:pStyle w:val="Odlomakpopisa"/>
        <w:ind w:left="0" w:firstLine="567"/>
        <w:rPr>
          <w:rFonts w:cs="Arial"/>
          <w:color w:val="000000"/>
        </w:rPr>
      </w:pPr>
    </w:p>
    <w:p w14:paraId="74AC583F" w14:textId="6BBF6E20" w:rsidR="004E0224" w:rsidRPr="00CA357C" w:rsidRDefault="004E0224" w:rsidP="004E0224">
      <w:pPr>
        <w:pStyle w:val="Odlomakpopisa"/>
        <w:ind w:left="0" w:firstLine="567"/>
        <w:rPr>
          <w:rFonts w:cs="Arial"/>
          <w:color w:val="000000"/>
        </w:rPr>
      </w:pPr>
      <w:r w:rsidRPr="00CA357C">
        <w:rPr>
          <w:rFonts w:cs="Arial"/>
          <w:color w:val="000000"/>
        </w:rPr>
        <w:t xml:space="preserve">U okviru Izvora Opći prihodi i primici (Izvor 11) za navedeno izvještajno razdoblje </w:t>
      </w:r>
      <w:r>
        <w:rPr>
          <w:rFonts w:cs="Arial"/>
          <w:color w:val="000000"/>
        </w:rPr>
        <w:t>izvršeni</w:t>
      </w:r>
      <w:r w:rsidRPr="00CA357C">
        <w:rPr>
          <w:rFonts w:cs="Arial"/>
          <w:color w:val="000000"/>
        </w:rPr>
        <w:t xml:space="preserve"> su rashodi u</w:t>
      </w:r>
      <w:r>
        <w:rPr>
          <w:rFonts w:cs="Arial"/>
          <w:color w:val="000000"/>
        </w:rPr>
        <w:t xml:space="preserve"> ukupnom</w:t>
      </w:r>
      <w:r w:rsidRPr="00CA357C">
        <w:rPr>
          <w:rFonts w:cs="Arial"/>
          <w:color w:val="000000"/>
        </w:rPr>
        <w:t xml:space="preserve"> iznosu od </w:t>
      </w:r>
      <w:r w:rsidR="006A3809">
        <w:rPr>
          <w:rFonts w:cs="Arial"/>
          <w:color w:val="000000"/>
        </w:rPr>
        <w:t>10.</w:t>
      </w:r>
      <w:r w:rsidR="00BE1327">
        <w:rPr>
          <w:rFonts w:cs="Arial"/>
          <w:color w:val="000000"/>
        </w:rPr>
        <w:t>115.897,51</w:t>
      </w:r>
      <w:r>
        <w:rPr>
          <w:rFonts w:cs="Arial"/>
          <w:color w:val="000000"/>
        </w:rPr>
        <w:t xml:space="preserve"> </w:t>
      </w:r>
      <w:r w:rsidR="001B5725">
        <w:rPr>
          <w:rFonts w:cs="Arial"/>
          <w:color w:val="000000"/>
        </w:rPr>
        <w:t>euro</w:t>
      </w:r>
      <w:r>
        <w:rPr>
          <w:rFonts w:cs="Arial"/>
          <w:color w:val="000000"/>
        </w:rPr>
        <w:t>.</w:t>
      </w:r>
      <w:r w:rsidRPr="00CA357C">
        <w:rPr>
          <w:rFonts w:cs="Arial"/>
          <w:color w:val="000000"/>
        </w:rPr>
        <w:t xml:space="preserve"> </w:t>
      </w:r>
      <w:r w:rsidR="005972E2">
        <w:rPr>
          <w:rFonts w:cs="Arial"/>
          <w:color w:val="000000"/>
        </w:rPr>
        <w:t>Navedeni rashodi</w:t>
      </w:r>
      <w:r>
        <w:rPr>
          <w:rFonts w:cs="Arial"/>
          <w:color w:val="000000"/>
        </w:rPr>
        <w:t xml:space="preserve"> </w:t>
      </w:r>
      <w:r w:rsidRPr="00CA357C">
        <w:rPr>
          <w:rFonts w:cs="Arial"/>
          <w:color w:val="000000"/>
        </w:rPr>
        <w:t>odnose se na</w:t>
      </w:r>
      <w:r>
        <w:rPr>
          <w:rFonts w:cs="Arial"/>
          <w:color w:val="000000"/>
        </w:rPr>
        <w:t xml:space="preserve"> rashode</w:t>
      </w:r>
      <w:r w:rsidRPr="00CA357C">
        <w:rPr>
          <w:rFonts w:cs="Arial"/>
          <w:color w:val="000000"/>
        </w:rPr>
        <w:t xml:space="preserve"> za zaposlene u iznosu od </w:t>
      </w:r>
      <w:r w:rsidR="006A3809">
        <w:rPr>
          <w:rFonts w:cs="Arial"/>
          <w:color w:val="000000"/>
        </w:rPr>
        <w:t>8.501.634,74</w:t>
      </w:r>
      <w:r>
        <w:rPr>
          <w:rFonts w:cs="Arial"/>
          <w:color w:val="000000"/>
        </w:rPr>
        <w:t xml:space="preserve"> </w:t>
      </w:r>
      <w:r w:rsidR="001B5725">
        <w:rPr>
          <w:rFonts w:cs="Arial"/>
          <w:color w:val="000000"/>
        </w:rPr>
        <w:t>eura</w:t>
      </w:r>
      <w:r>
        <w:rPr>
          <w:rFonts w:cs="Arial"/>
          <w:color w:val="000000"/>
        </w:rPr>
        <w:t>, materijalne rashode</w:t>
      </w:r>
      <w:r w:rsidRPr="00CA357C">
        <w:rPr>
          <w:rFonts w:cs="Arial"/>
          <w:color w:val="000000"/>
        </w:rPr>
        <w:t xml:space="preserve"> u iznosu od </w:t>
      </w:r>
      <w:r w:rsidR="006A3809">
        <w:rPr>
          <w:rFonts w:cs="Arial"/>
          <w:color w:val="000000"/>
        </w:rPr>
        <w:t>1.199.159,80</w:t>
      </w:r>
      <w:r>
        <w:rPr>
          <w:rFonts w:cs="Arial"/>
          <w:color w:val="000000"/>
        </w:rPr>
        <w:t xml:space="preserve"> </w:t>
      </w:r>
      <w:r w:rsidR="001B5725">
        <w:rPr>
          <w:rFonts w:cs="Arial"/>
          <w:color w:val="000000"/>
        </w:rPr>
        <w:t>eura</w:t>
      </w:r>
      <w:r>
        <w:rPr>
          <w:rFonts w:cs="Arial"/>
          <w:color w:val="000000"/>
        </w:rPr>
        <w:t xml:space="preserve">, </w:t>
      </w:r>
      <w:r w:rsidR="006A3809">
        <w:rPr>
          <w:rFonts w:cs="Arial"/>
          <w:color w:val="000000"/>
        </w:rPr>
        <w:t xml:space="preserve">naknade građanima i kućanstvima na temelju osiguranja i druge naknade u iznosu od 2.389,01 </w:t>
      </w:r>
      <w:r w:rsidR="001B5725">
        <w:rPr>
          <w:rFonts w:cs="Arial"/>
          <w:color w:val="000000"/>
        </w:rPr>
        <w:t>euro</w:t>
      </w:r>
      <w:r w:rsidR="006A3809">
        <w:rPr>
          <w:rFonts w:cs="Arial"/>
          <w:color w:val="000000"/>
        </w:rPr>
        <w:t xml:space="preserve">, </w:t>
      </w:r>
      <w:r>
        <w:rPr>
          <w:rFonts w:cs="Arial"/>
          <w:color w:val="000000"/>
        </w:rPr>
        <w:t>rashode</w:t>
      </w:r>
      <w:r w:rsidRPr="00CA357C">
        <w:rPr>
          <w:rFonts w:cs="Arial"/>
          <w:color w:val="000000"/>
        </w:rPr>
        <w:t xml:space="preserve"> za nabavu proizvedene dugotrajne imovine u iznosu od </w:t>
      </w:r>
      <w:r w:rsidR="006A3809">
        <w:rPr>
          <w:rFonts w:cs="Arial"/>
          <w:color w:val="000000"/>
        </w:rPr>
        <w:t>51.217,68</w:t>
      </w:r>
      <w:r>
        <w:rPr>
          <w:rFonts w:cs="Arial"/>
          <w:color w:val="000000"/>
        </w:rPr>
        <w:t xml:space="preserve"> </w:t>
      </w:r>
      <w:r w:rsidR="001B5725">
        <w:rPr>
          <w:rFonts w:cs="Arial"/>
          <w:color w:val="000000"/>
        </w:rPr>
        <w:t>eura</w:t>
      </w:r>
      <w:r>
        <w:rPr>
          <w:rFonts w:cs="Arial"/>
          <w:color w:val="000000"/>
        </w:rPr>
        <w:t xml:space="preserve"> te rashode</w:t>
      </w:r>
      <w:r w:rsidRPr="00CA357C">
        <w:rPr>
          <w:rFonts w:cs="Arial"/>
          <w:color w:val="000000"/>
        </w:rPr>
        <w:t xml:space="preserve"> za dodatna ulaganja na nefinancijskoj imovini u iznosu od </w:t>
      </w:r>
      <w:r w:rsidR="006A3809">
        <w:rPr>
          <w:rFonts w:cs="Arial"/>
          <w:color w:val="000000"/>
        </w:rPr>
        <w:t>361.496,28</w:t>
      </w:r>
      <w:r w:rsidRPr="00CA357C">
        <w:rPr>
          <w:rFonts w:cs="Arial"/>
          <w:color w:val="000000"/>
        </w:rPr>
        <w:t xml:space="preserve"> </w:t>
      </w:r>
      <w:r w:rsidR="001B5725">
        <w:rPr>
          <w:rFonts w:cs="Arial"/>
          <w:color w:val="000000"/>
        </w:rPr>
        <w:t>eura</w:t>
      </w:r>
      <w:r w:rsidRPr="00CA357C">
        <w:rPr>
          <w:rFonts w:cs="Arial"/>
          <w:color w:val="000000"/>
        </w:rPr>
        <w:t xml:space="preserve">. Nadalje, u okviru Izvora Vlastiti prihodi (Izvor 31) za navedeno izvještajno razdoblje izvršeni su </w:t>
      </w:r>
      <w:r w:rsidR="006A3809">
        <w:rPr>
          <w:rFonts w:cs="Arial"/>
          <w:color w:val="000000"/>
        </w:rPr>
        <w:t xml:space="preserve">rashodi za zaposlene u iznosu od 39.300,00 </w:t>
      </w:r>
      <w:r w:rsidR="001B5725">
        <w:rPr>
          <w:rFonts w:cs="Arial"/>
          <w:color w:val="000000"/>
        </w:rPr>
        <w:t>eura</w:t>
      </w:r>
      <w:r w:rsidR="006A3809">
        <w:rPr>
          <w:rFonts w:cs="Arial"/>
          <w:color w:val="000000"/>
        </w:rPr>
        <w:t xml:space="preserve"> i </w:t>
      </w:r>
      <w:r w:rsidRPr="00CA357C">
        <w:rPr>
          <w:rFonts w:cs="Arial"/>
          <w:color w:val="000000"/>
        </w:rPr>
        <w:t>materija</w:t>
      </w:r>
      <w:r>
        <w:rPr>
          <w:rFonts w:cs="Arial"/>
          <w:color w:val="000000"/>
        </w:rPr>
        <w:t xml:space="preserve">lni rashodi u iznosu od </w:t>
      </w:r>
      <w:r w:rsidR="006A3809">
        <w:rPr>
          <w:rFonts w:cs="Arial"/>
          <w:color w:val="000000"/>
        </w:rPr>
        <w:t>95.158,08</w:t>
      </w:r>
      <w:r w:rsidRPr="00CA357C">
        <w:rPr>
          <w:rFonts w:cs="Arial"/>
          <w:color w:val="000000"/>
        </w:rPr>
        <w:t xml:space="preserve"> </w:t>
      </w:r>
      <w:r w:rsidR="001B5725">
        <w:rPr>
          <w:rFonts w:cs="Arial"/>
          <w:color w:val="000000"/>
        </w:rPr>
        <w:t>eura</w:t>
      </w:r>
      <w:r w:rsidRPr="00CA357C">
        <w:rPr>
          <w:rFonts w:cs="Arial"/>
          <w:color w:val="000000"/>
        </w:rPr>
        <w:t>. Također, u okviru Izvora Fond solidarnosti EU – potres ožujak 2020. (Izvor 5761) za navedeno izv</w:t>
      </w:r>
      <w:r w:rsidR="00D96D65">
        <w:rPr>
          <w:rFonts w:cs="Arial"/>
          <w:color w:val="000000"/>
        </w:rPr>
        <w:t xml:space="preserve">ještajno razdoblje izvršeni su </w:t>
      </w:r>
      <w:r w:rsidRPr="00CA357C">
        <w:rPr>
          <w:rFonts w:cs="Arial"/>
          <w:color w:val="000000"/>
        </w:rPr>
        <w:t>rashodi za dodatna ulaganja na nefinancijsko</w:t>
      </w:r>
      <w:r>
        <w:rPr>
          <w:rFonts w:cs="Arial"/>
          <w:color w:val="000000"/>
        </w:rPr>
        <w:t>j imovini u iznosu od 357.</w:t>
      </w:r>
      <w:r w:rsidR="006A3809">
        <w:rPr>
          <w:rFonts w:cs="Arial"/>
          <w:color w:val="000000"/>
        </w:rPr>
        <w:t>716,99</w:t>
      </w:r>
      <w:r w:rsidRPr="00CA357C">
        <w:rPr>
          <w:rFonts w:cs="Arial"/>
          <w:color w:val="000000"/>
        </w:rPr>
        <w:t xml:space="preserve"> </w:t>
      </w:r>
      <w:r w:rsidR="001B5725">
        <w:rPr>
          <w:rFonts w:cs="Arial"/>
          <w:color w:val="000000"/>
        </w:rPr>
        <w:t>eura</w:t>
      </w:r>
      <w:r w:rsidRPr="00CA357C">
        <w:rPr>
          <w:rFonts w:cs="Arial"/>
          <w:color w:val="000000"/>
        </w:rPr>
        <w:t xml:space="preserve">. </w:t>
      </w:r>
    </w:p>
    <w:p w14:paraId="12C25EFA" w14:textId="77777777" w:rsidR="004E0224" w:rsidRPr="00CA357C" w:rsidRDefault="004E0224" w:rsidP="004E0224">
      <w:pPr>
        <w:tabs>
          <w:tab w:val="left" w:pos="113"/>
          <w:tab w:val="left" w:pos="993"/>
        </w:tabs>
        <w:rPr>
          <w:rFonts w:cs="Arial"/>
          <w:color w:val="000000"/>
        </w:rPr>
      </w:pPr>
    </w:p>
    <w:p w14:paraId="45C25A7C" w14:textId="1265FAF6" w:rsidR="004E0224" w:rsidRPr="0041051F" w:rsidRDefault="004E0224" w:rsidP="004E0224">
      <w:pPr>
        <w:widowControl/>
        <w:autoSpaceDE/>
        <w:autoSpaceDN/>
        <w:adjustRightInd/>
        <w:ind w:firstLine="567"/>
        <w:rPr>
          <w:rFonts w:eastAsia="Calibri" w:cs="Arial"/>
          <w:lang w:eastAsia="en-US"/>
        </w:rPr>
      </w:pPr>
      <w:r w:rsidRPr="00CA357C">
        <w:rPr>
          <w:rFonts w:cs="Arial"/>
          <w:color w:val="000000"/>
        </w:rPr>
        <w:t xml:space="preserve">Vrijednosno značajnije </w:t>
      </w:r>
      <w:r>
        <w:rPr>
          <w:rFonts w:cs="Arial"/>
          <w:color w:val="000000"/>
        </w:rPr>
        <w:t>izvršenje</w:t>
      </w:r>
      <w:r w:rsidRPr="00CA357C">
        <w:rPr>
          <w:rFonts w:cs="Arial"/>
          <w:color w:val="000000"/>
        </w:rPr>
        <w:t xml:space="preserve"> rashoda odnosi se na </w:t>
      </w:r>
      <w:r w:rsidRPr="00CA357C">
        <w:rPr>
          <w:rFonts w:cs="Arial"/>
          <w:b/>
          <w:color w:val="000000"/>
        </w:rPr>
        <w:t>rashode za zaposlene</w:t>
      </w:r>
      <w:r w:rsidR="00B17B53">
        <w:rPr>
          <w:rFonts w:cs="Arial"/>
          <w:b/>
          <w:color w:val="000000"/>
        </w:rPr>
        <w:t xml:space="preserve"> (Izvor 11)</w:t>
      </w:r>
      <w:r w:rsidRPr="00CA357C">
        <w:rPr>
          <w:rFonts w:cs="Arial"/>
          <w:color w:val="000000"/>
        </w:rPr>
        <w:t xml:space="preserve"> u iznosu od </w:t>
      </w:r>
      <w:r w:rsidR="00B17B53">
        <w:rPr>
          <w:rFonts w:eastAsia="Calibri" w:cs="Arial"/>
          <w:color w:val="000000"/>
          <w:lang w:eastAsia="en-US"/>
        </w:rPr>
        <w:t>8.501.634,74</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ili </w:t>
      </w:r>
      <w:r w:rsidR="00B17B53">
        <w:rPr>
          <w:rFonts w:eastAsia="Calibri" w:cs="Arial"/>
          <w:color w:val="000000"/>
          <w:lang w:eastAsia="en-US"/>
        </w:rPr>
        <w:t>99,92</w:t>
      </w:r>
      <w:r w:rsidRPr="00CA357C">
        <w:rPr>
          <w:rFonts w:eastAsia="Calibri" w:cs="Arial"/>
          <w:color w:val="000000"/>
          <w:lang w:eastAsia="en-US"/>
        </w:rPr>
        <w:t xml:space="preserve"> % </w:t>
      </w:r>
      <w:r w:rsidR="00B17B53">
        <w:rPr>
          <w:rFonts w:eastAsia="Calibri" w:cs="Arial"/>
          <w:color w:val="000000"/>
          <w:lang w:eastAsia="en-US"/>
        </w:rPr>
        <w:t>u odnosu na tekući plan za 2023</w:t>
      </w:r>
      <w:r w:rsidRPr="00CA357C">
        <w:rPr>
          <w:rFonts w:eastAsia="Calibri" w:cs="Arial"/>
          <w:color w:val="000000"/>
          <w:lang w:eastAsia="en-US"/>
        </w:rPr>
        <w:t xml:space="preserve">. Navedeni rashodi odnose se na rashode za brutoplaće u iznosu od </w:t>
      </w:r>
      <w:r w:rsidR="00B17B53">
        <w:rPr>
          <w:rFonts w:eastAsia="Calibri" w:cs="Arial"/>
          <w:color w:val="000000"/>
          <w:lang w:eastAsia="en-US"/>
        </w:rPr>
        <w:t>7.077.755,84</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ostale rashode za zaposlene u iznosu od </w:t>
      </w:r>
      <w:r w:rsidR="00B17B53">
        <w:rPr>
          <w:rFonts w:eastAsia="Calibri" w:cs="Arial"/>
          <w:color w:val="000000"/>
          <w:lang w:eastAsia="en-US"/>
        </w:rPr>
        <w:t>270.858,58</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te doprinose za plaće u iznosu od </w:t>
      </w:r>
      <w:r w:rsidR="00B17B53">
        <w:rPr>
          <w:rFonts w:eastAsia="Calibri" w:cs="Arial"/>
          <w:color w:val="000000"/>
          <w:lang w:eastAsia="en-US"/>
        </w:rPr>
        <w:t>1.153.020,32</w:t>
      </w:r>
      <w:r w:rsidRPr="00CA357C">
        <w:rPr>
          <w:rFonts w:eastAsia="Calibri" w:cs="Arial"/>
          <w:color w:val="000000"/>
          <w:lang w:eastAsia="en-US"/>
        </w:rPr>
        <w:t xml:space="preserve"> </w:t>
      </w:r>
      <w:r w:rsidR="001B5725">
        <w:rPr>
          <w:rFonts w:eastAsia="Calibri" w:cs="Arial"/>
          <w:color w:val="000000"/>
          <w:lang w:eastAsia="en-US"/>
        </w:rPr>
        <w:lastRenderedPageBreak/>
        <w:t>eura</w:t>
      </w:r>
      <w:r w:rsidRPr="00CA357C">
        <w:rPr>
          <w:rFonts w:eastAsia="Calibri" w:cs="Arial"/>
          <w:color w:val="000000"/>
          <w:lang w:eastAsia="en-US"/>
        </w:rPr>
        <w:t xml:space="preserve">. </w:t>
      </w:r>
      <w:r w:rsidRPr="0041051F">
        <w:rPr>
          <w:rFonts w:eastAsia="Calibri" w:cs="Arial"/>
          <w:lang w:eastAsia="en-US"/>
        </w:rPr>
        <w:t>Navedeno izvršenje rashoda za zaposlene</w:t>
      </w:r>
      <w:r w:rsidR="00677454" w:rsidRPr="0041051F">
        <w:rPr>
          <w:rFonts w:eastAsia="Calibri" w:cs="Arial"/>
          <w:lang w:eastAsia="en-US"/>
        </w:rPr>
        <w:t xml:space="preserve"> odnosi se na </w:t>
      </w:r>
      <w:r w:rsidRPr="0041051F">
        <w:rPr>
          <w:rFonts w:eastAsia="Calibri" w:cs="Arial"/>
          <w:lang w:eastAsia="en-US"/>
        </w:rPr>
        <w:t>28</w:t>
      </w:r>
      <w:r w:rsidR="00677454" w:rsidRPr="0041051F">
        <w:rPr>
          <w:rFonts w:eastAsia="Calibri" w:cs="Arial"/>
          <w:lang w:eastAsia="en-US"/>
        </w:rPr>
        <w:t>3</w:t>
      </w:r>
      <w:r w:rsidRPr="0041051F">
        <w:rPr>
          <w:rFonts w:eastAsia="Calibri" w:cs="Arial"/>
          <w:lang w:eastAsia="en-US"/>
        </w:rPr>
        <w:t xml:space="preserve"> zaposlenika</w:t>
      </w:r>
      <w:r w:rsidR="007B43CA" w:rsidRPr="0041051F">
        <w:rPr>
          <w:rFonts w:eastAsia="Calibri" w:cs="Arial"/>
          <w:lang w:eastAsia="en-US"/>
        </w:rPr>
        <w:t xml:space="preserve">, a plaće su obračunane u skladu s propisima. </w:t>
      </w:r>
    </w:p>
    <w:p w14:paraId="358052A7" w14:textId="3581A224" w:rsidR="00B17B53" w:rsidRPr="0041051F" w:rsidRDefault="00B17B53" w:rsidP="004E0224">
      <w:pPr>
        <w:widowControl/>
        <w:autoSpaceDE/>
        <w:autoSpaceDN/>
        <w:adjustRightInd/>
        <w:ind w:firstLine="567"/>
        <w:rPr>
          <w:rFonts w:eastAsia="Calibri" w:cs="Arial"/>
          <w:lang w:eastAsia="en-US"/>
        </w:rPr>
      </w:pPr>
    </w:p>
    <w:p w14:paraId="49361A91" w14:textId="5F61EA26" w:rsidR="00B17B53" w:rsidRPr="00CA357C" w:rsidRDefault="00B17B53" w:rsidP="004E0224">
      <w:pPr>
        <w:widowControl/>
        <w:autoSpaceDE/>
        <w:autoSpaceDN/>
        <w:adjustRightInd/>
        <w:ind w:firstLine="567"/>
        <w:rPr>
          <w:rFonts w:eastAsia="Calibri" w:cs="Arial"/>
          <w:color w:val="000000"/>
          <w:lang w:eastAsia="en-US"/>
        </w:rPr>
      </w:pPr>
      <w:r w:rsidRPr="00D359D9">
        <w:rPr>
          <w:rFonts w:eastAsia="Calibri" w:cs="Arial"/>
          <w:b/>
          <w:color w:val="000000"/>
          <w:lang w:eastAsia="en-US"/>
        </w:rPr>
        <w:t>Rashodi za zaposlene (Izvor 31)</w:t>
      </w:r>
      <w:r>
        <w:rPr>
          <w:rFonts w:eastAsia="Calibri" w:cs="Arial"/>
          <w:color w:val="000000"/>
          <w:lang w:eastAsia="en-US"/>
        </w:rPr>
        <w:t xml:space="preserve"> izvršeni su u iznosu od 39.300,00 </w:t>
      </w:r>
      <w:r w:rsidR="001B5725">
        <w:rPr>
          <w:rFonts w:eastAsia="Calibri" w:cs="Arial"/>
          <w:color w:val="000000"/>
          <w:lang w:eastAsia="en-US"/>
        </w:rPr>
        <w:t>eura</w:t>
      </w:r>
      <w:r>
        <w:rPr>
          <w:rFonts w:eastAsia="Calibri" w:cs="Arial"/>
          <w:color w:val="000000"/>
          <w:lang w:eastAsia="en-US"/>
        </w:rPr>
        <w:t xml:space="preserve"> ili 100,00 % u odnosu na tekući plan za 2023., </w:t>
      </w:r>
      <w:r w:rsidR="00D359D9">
        <w:rPr>
          <w:rFonts w:eastAsia="Calibri" w:cs="Arial"/>
          <w:color w:val="000000"/>
          <w:lang w:eastAsia="en-US"/>
        </w:rPr>
        <w:t xml:space="preserve">a odnose se na novčane nagrade za radne rezultate zaposlenika </w:t>
      </w:r>
      <w:r w:rsidR="00D359D9" w:rsidRPr="00D359D9">
        <w:rPr>
          <w:rFonts w:eastAsia="Calibri" w:cs="Arial"/>
          <w:color w:val="000000"/>
          <w:lang w:eastAsia="en-US"/>
        </w:rPr>
        <w:t xml:space="preserve">u skladu s Pravilnikom o </w:t>
      </w:r>
      <w:r w:rsidR="00D359D9">
        <w:rPr>
          <w:rFonts w:eastAsia="Calibri" w:cs="Arial"/>
          <w:color w:val="000000"/>
          <w:lang w:eastAsia="en-US"/>
        </w:rPr>
        <w:t xml:space="preserve">načinu </w:t>
      </w:r>
      <w:r w:rsidR="00D359D9" w:rsidRPr="00D359D9">
        <w:rPr>
          <w:rFonts w:eastAsia="Calibri" w:cs="Arial"/>
          <w:color w:val="000000"/>
          <w:lang w:eastAsia="en-US"/>
        </w:rPr>
        <w:t>korištenj</w:t>
      </w:r>
      <w:r w:rsidR="00D359D9">
        <w:rPr>
          <w:rFonts w:eastAsia="Calibri" w:cs="Arial"/>
          <w:color w:val="000000"/>
          <w:lang w:eastAsia="en-US"/>
        </w:rPr>
        <w:t>a</w:t>
      </w:r>
      <w:r w:rsidR="00D359D9" w:rsidRPr="00D359D9">
        <w:rPr>
          <w:rFonts w:eastAsia="Calibri" w:cs="Arial"/>
          <w:color w:val="000000"/>
          <w:lang w:eastAsia="en-US"/>
        </w:rPr>
        <w:t xml:space="preserve"> vlastitih prihoda Državnog ureda za reviziju.</w:t>
      </w:r>
    </w:p>
    <w:p w14:paraId="4C1633B1" w14:textId="77777777" w:rsidR="004E0224" w:rsidRPr="00CA357C" w:rsidRDefault="004E0224" w:rsidP="004E0224">
      <w:pPr>
        <w:widowControl/>
        <w:autoSpaceDE/>
        <w:autoSpaceDN/>
        <w:adjustRightInd/>
        <w:rPr>
          <w:rFonts w:eastAsia="Calibri" w:cs="Arial"/>
          <w:color w:val="000000"/>
          <w:lang w:eastAsia="en-US"/>
        </w:rPr>
      </w:pPr>
    </w:p>
    <w:p w14:paraId="0AC9F5AE" w14:textId="00F70A34" w:rsidR="004E0224" w:rsidRPr="00CA357C" w:rsidRDefault="004E0224" w:rsidP="004E0224">
      <w:pPr>
        <w:pStyle w:val="Odlomakpopisa"/>
        <w:ind w:left="0" w:firstLine="567"/>
        <w:rPr>
          <w:rFonts w:cs="Arial"/>
          <w:color w:val="000000"/>
        </w:rPr>
      </w:pPr>
      <w:r w:rsidRPr="00CA357C">
        <w:rPr>
          <w:rFonts w:eastAsia="Calibri" w:cs="Arial"/>
          <w:b/>
          <w:color w:val="000000"/>
          <w:lang w:eastAsia="en-US"/>
        </w:rPr>
        <w:t>Materijalni rashodi</w:t>
      </w:r>
      <w:r w:rsidRPr="00CA357C">
        <w:rPr>
          <w:rFonts w:eastAsia="Calibri" w:cs="Arial"/>
          <w:color w:val="000000"/>
          <w:lang w:eastAsia="en-US"/>
        </w:rPr>
        <w:t xml:space="preserve"> </w:t>
      </w:r>
      <w:r w:rsidRPr="00041D2F">
        <w:rPr>
          <w:rFonts w:eastAsia="Calibri" w:cs="Arial"/>
          <w:b/>
          <w:color w:val="000000"/>
          <w:lang w:eastAsia="en-US"/>
        </w:rPr>
        <w:t>(Izvor 11)</w:t>
      </w:r>
      <w:r>
        <w:rPr>
          <w:rFonts w:eastAsia="Calibri" w:cs="Arial"/>
          <w:color w:val="000000"/>
          <w:lang w:eastAsia="en-US"/>
        </w:rPr>
        <w:t xml:space="preserve"> </w:t>
      </w:r>
      <w:r w:rsidRPr="00CA357C">
        <w:rPr>
          <w:rFonts w:cs="Arial"/>
          <w:color w:val="000000"/>
        </w:rPr>
        <w:t>i</w:t>
      </w:r>
      <w:r w:rsidR="00D96D65">
        <w:rPr>
          <w:rFonts w:cs="Arial"/>
          <w:color w:val="000000"/>
        </w:rPr>
        <w:t xml:space="preserve">zvršeni su u iznosu od </w:t>
      </w:r>
      <w:r w:rsidR="00D359D9">
        <w:rPr>
          <w:rFonts w:cs="Arial"/>
          <w:color w:val="000000"/>
        </w:rPr>
        <w:t>1.199.159,80</w:t>
      </w:r>
      <w:r w:rsidRPr="00CA357C">
        <w:rPr>
          <w:rFonts w:cs="Arial"/>
          <w:color w:val="000000"/>
        </w:rPr>
        <w:t xml:space="preserve"> </w:t>
      </w:r>
      <w:r w:rsidR="001B5725">
        <w:rPr>
          <w:rFonts w:cs="Arial"/>
          <w:color w:val="000000"/>
        </w:rPr>
        <w:t>eura</w:t>
      </w:r>
      <w:r w:rsidRPr="00CA357C">
        <w:rPr>
          <w:rFonts w:cs="Arial"/>
          <w:color w:val="000000"/>
        </w:rPr>
        <w:t xml:space="preserve"> ili </w:t>
      </w:r>
      <w:r w:rsidR="00D359D9">
        <w:rPr>
          <w:rFonts w:cs="Arial"/>
          <w:color w:val="000000"/>
        </w:rPr>
        <w:t>95,48</w:t>
      </w:r>
      <w:r w:rsidRPr="00CA357C">
        <w:rPr>
          <w:rFonts w:cs="Arial"/>
          <w:color w:val="000000"/>
        </w:rPr>
        <w:t xml:space="preserve"> % </w:t>
      </w:r>
      <w:r w:rsidR="00D359D9">
        <w:rPr>
          <w:rFonts w:cs="Arial"/>
          <w:color w:val="000000"/>
        </w:rPr>
        <w:t>u odnosu na tekući plan za 2023</w:t>
      </w:r>
      <w:r w:rsidRPr="00CA357C">
        <w:rPr>
          <w:rFonts w:cs="Arial"/>
          <w:color w:val="000000"/>
        </w:rPr>
        <w:t xml:space="preserve">. </w:t>
      </w:r>
      <w:r w:rsidR="007B43CA">
        <w:rPr>
          <w:rFonts w:cs="Arial"/>
          <w:color w:val="000000"/>
        </w:rPr>
        <w:t>O</w:t>
      </w:r>
      <w:r w:rsidRPr="00CA357C">
        <w:rPr>
          <w:rFonts w:cs="Arial"/>
          <w:color w:val="000000"/>
        </w:rPr>
        <w:t>dnose se</w:t>
      </w:r>
      <w:r w:rsidRPr="00CA357C">
        <w:rPr>
          <w:rFonts w:eastAsia="Calibri" w:cs="Arial"/>
          <w:color w:val="000000"/>
          <w:lang w:eastAsia="en-US"/>
        </w:rPr>
        <w:t xml:space="preserve"> na naknade troškova zaposlenima u iznosu od </w:t>
      </w:r>
      <w:r w:rsidR="0087131C">
        <w:rPr>
          <w:rFonts w:eastAsia="Calibri" w:cs="Arial"/>
          <w:color w:val="000000"/>
          <w:lang w:eastAsia="en-US"/>
        </w:rPr>
        <w:t>282.545,82</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rashode za materijal i energiju u iznosu od </w:t>
      </w:r>
      <w:r w:rsidR="0087131C">
        <w:rPr>
          <w:rFonts w:eastAsia="Calibri" w:cs="Arial"/>
          <w:color w:val="000000"/>
          <w:lang w:eastAsia="en-US"/>
        </w:rPr>
        <w:t>191.509,76</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rashode za usluge u iznosu od </w:t>
      </w:r>
      <w:r w:rsidR="0087131C">
        <w:rPr>
          <w:rFonts w:eastAsia="Calibri" w:cs="Arial"/>
          <w:color w:val="000000"/>
          <w:lang w:eastAsia="en-US"/>
        </w:rPr>
        <w:t>660.724,88</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 xml:space="preserve"> te ostale nespomenute rashode poslovanja u iznosu od </w:t>
      </w:r>
      <w:r w:rsidR="0087131C">
        <w:rPr>
          <w:rFonts w:eastAsia="Calibri" w:cs="Arial"/>
          <w:color w:val="000000"/>
          <w:lang w:eastAsia="en-US"/>
        </w:rPr>
        <w:t>64.379,34</w:t>
      </w:r>
      <w:r w:rsidRPr="00CA357C">
        <w:rPr>
          <w:rFonts w:eastAsia="Calibri" w:cs="Arial"/>
          <w:color w:val="000000"/>
          <w:lang w:eastAsia="en-US"/>
        </w:rPr>
        <w:t xml:space="preserve"> </w:t>
      </w:r>
      <w:r w:rsidR="001B5725">
        <w:rPr>
          <w:rFonts w:eastAsia="Calibri" w:cs="Arial"/>
          <w:color w:val="000000"/>
          <w:lang w:eastAsia="en-US"/>
        </w:rPr>
        <w:t>eura</w:t>
      </w:r>
      <w:r w:rsidRPr="00CA357C">
        <w:rPr>
          <w:rFonts w:eastAsia="Calibri" w:cs="Arial"/>
          <w:color w:val="000000"/>
          <w:lang w:eastAsia="en-US"/>
        </w:rPr>
        <w:t>.</w:t>
      </w:r>
    </w:p>
    <w:p w14:paraId="1738DAEE" w14:textId="442D221E" w:rsidR="004E0224" w:rsidRDefault="004E0224" w:rsidP="004E0224">
      <w:pPr>
        <w:widowControl/>
        <w:autoSpaceDE/>
        <w:autoSpaceDN/>
        <w:adjustRightInd/>
        <w:rPr>
          <w:rFonts w:cs="Arial"/>
          <w:color w:val="000000"/>
        </w:rPr>
      </w:pPr>
      <w:r w:rsidRPr="00CA357C">
        <w:rPr>
          <w:rFonts w:cs="Arial"/>
          <w:color w:val="000000"/>
        </w:rPr>
        <w:t xml:space="preserve">Vrijednosno najznačajnije </w:t>
      </w:r>
      <w:r>
        <w:rPr>
          <w:rFonts w:cs="Arial"/>
          <w:color w:val="000000"/>
        </w:rPr>
        <w:t xml:space="preserve">izvršenje </w:t>
      </w:r>
      <w:r w:rsidRPr="00CA357C">
        <w:rPr>
          <w:rFonts w:cs="Arial"/>
          <w:color w:val="000000"/>
        </w:rPr>
        <w:t xml:space="preserve">materijalnih rashoda odnosi se na rashode </w:t>
      </w:r>
      <w:r>
        <w:rPr>
          <w:rFonts w:cs="Arial"/>
          <w:color w:val="000000"/>
        </w:rPr>
        <w:t xml:space="preserve">za usluge u iznosu od </w:t>
      </w:r>
      <w:r w:rsidR="00BE517A">
        <w:rPr>
          <w:rFonts w:cs="Arial"/>
          <w:color w:val="000000"/>
        </w:rPr>
        <w:t>660.724,88</w:t>
      </w:r>
      <w:r w:rsidRPr="00CA357C">
        <w:rPr>
          <w:rFonts w:cs="Arial"/>
          <w:color w:val="000000"/>
        </w:rPr>
        <w:t xml:space="preserve"> </w:t>
      </w:r>
      <w:r w:rsidR="001B5725">
        <w:rPr>
          <w:rFonts w:cs="Arial"/>
          <w:color w:val="000000"/>
        </w:rPr>
        <w:t>eura</w:t>
      </w:r>
      <w:r w:rsidRPr="00CA357C">
        <w:rPr>
          <w:rFonts w:cs="Arial"/>
          <w:color w:val="000000"/>
        </w:rPr>
        <w:t xml:space="preserve">, u okviru kojih </w:t>
      </w:r>
      <w:r>
        <w:rPr>
          <w:rFonts w:cs="Arial"/>
          <w:color w:val="000000"/>
        </w:rPr>
        <w:t>značajni dio</w:t>
      </w:r>
      <w:r w:rsidRPr="00CA357C">
        <w:rPr>
          <w:rFonts w:cs="Arial"/>
          <w:color w:val="000000"/>
        </w:rPr>
        <w:t xml:space="preserve"> čine zakupnine i najamnine </w:t>
      </w:r>
      <w:r>
        <w:rPr>
          <w:rFonts w:cs="Arial"/>
          <w:color w:val="000000"/>
        </w:rPr>
        <w:t>u iznosu</w:t>
      </w:r>
      <w:r w:rsidR="005972E2">
        <w:rPr>
          <w:rFonts w:cs="Arial"/>
          <w:color w:val="000000"/>
        </w:rPr>
        <w:t xml:space="preserve"> od</w:t>
      </w:r>
      <w:r>
        <w:rPr>
          <w:rFonts w:cs="Arial"/>
          <w:color w:val="000000"/>
        </w:rPr>
        <w:t xml:space="preserve"> </w:t>
      </w:r>
      <w:r w:rsidR="00BE517A">
        <w:rPr>
          <w:rFonts w:cs="Arial"/>
          <w:color w:val="000000"/>
        </w:rPr>
        <w:t>200.414,01</w:t>
      </w:r>
      <w:r w:rsidRPr="00CA357C">
        <w:rPr>
          <w:rFonts w:cs="Arial"/>
          <w:color w:val="000000"/>
        </w:rPr>
        <w:t xml:space="preserve"> </w:t>
      </w:r>
      <w:r w:rsidR="001B5725">
        <w:rPr>
          <w:rFonts w:cs="Arial"/>
          <w:color w:val="000000"/>
        </w:rPr>
        <w:t>euro</w:t>
      </w:r>
      <w:r w:rsidRPr="00CA357C">
        <w:rPr>
          <w:rFonts w:cs="Arial"/>
          <w:color w:val="000000"/>
        </w:rPr>
        <w:t xml:space="preserve"> </w:t>
      </w:r>
      <w:r>
        <w:rPr>
          <w:rFonts w:cs="Arial"/>
          <w:color w:val="000000"/>
        </w:rPr>
        <w:t xml:space="preserve">za </w:t>
      </w:r>
      <w:r w:rsidRPr="00CA357C">
        <w:rPr>
          <w:rFonts w:cs="Arial"/>
          <w:color w:val="000000"/>
        </w:rPr>
        <w:t>privremeni zakup poslovnog prostora u Zagrebu</w:t>
      </w:r>
      <w:r w:rsidR="00BE517A">
        <w:rPr>
          <w:rFonts w:cs="Arial"/>
          <w:color w:val="000000"/>
        </w:rPr>
        <w:t xml:space="preserve"> i Sisku</w:t>
      </w:r>
      <w:r w:rsidRPr="00CA357C">
        <w:rPr>
          <w:rFonts w:cs="Arial"/>
          <w:color w:val="000000"/>
        </w:rPr>
        <w:t xml:space="preserve"> za vrijeme trajanja obnove zgrada od potresa</w:t>
      </w:r>
      <w:r>
        <w:rPr>
          <w:rFonts w:cs="Arial"/>
          <w:color w:val="000000"/>
        </w:rPr>
        <w:t xml:space="preserve"> te</w:t>
      </w:r>
      <w:r w:rsidRPr="00CA357C">
        <w:rPr>
          <w:rFonts w:cs="Arial"/>
          <w:color w:val="000000"/>
        </w:rPr>
        <w:t xml:space="preserve"> zakup poslovnog prostora </w:t>
      </w:r>
      <w:r w:rsidR="007B43CA">
        <w:rPr>
          <w:rFonts w:cs="Arial"/>
          <w:color w:val="000000"/>
        </w:rPr>
        <w:t>u Požegi, a u kojima su smješteni zaposlenici Ureda</w:t>
      </w:r>
      <w:r>
        <w:rPr>
          <w:rFonts w:cs="Arial"/>
          <w:color w:val="000000"/>
        </w:rPr>
        <w:t xml:space="preserve">. </w:t>
      </w:r>
      <w:r w:rsidRPr="009C6425">
        <w:rPr>
          <w:rFonts w:cs="Arial"/>
          <w:color w:val="000000"/>
        </w:rPr>
        <w:t>Ostale usluge</w:t>
      </w:r>
      <w:r w:rsidR="009C6425" w:rsidRPr="009C6425">
        <w:rPr>
          <w:rFonts w:cs="Arial"/>
          <w:color w:val="000000"/>
        </w:rPr>
        <w:t xml:space="preserve"> </w:t>
      </w:r>
      <w:r w:rsidR="007B43CA">
        <w:rPr>
          <w:rFonts w:cs="Arial"/>
          <w:color w:val="000000"/>
        </w:rPr>
        <w:t>u</w:t>
      </w:r>
      <w:r w:rsidRPr="009C6425">
        <w:rPr>
          <w:rFonts w:cs="Arial"/>
          <w:color w:val="000000"/>
        </w:rPr>
        <w:t xml:space="preserve"> iznosu od </w:t>
      </w:r>
      <w:r w:rsidR="00BE517A">
        <w:rPr>
          <w:rFonts w:cs="Arial"/>
          <w:color w:val="000000"/>
        </w:rPr>
        <w:t>179.116,81</w:t>
      </w:r>
      <w:r w:rsidRPr="009C6425">
        <w:rPr>
          <w:rFonts w:cs="Arial"/>
          <w:color w:val="000000"/>
        </w:rPr>
        <w:t xml:space="preserve"> </w:t>
      </w:r>
      <w:r w:rsidR="001B5725">
        <w:rPr>
          <w:rFonts w:cs="Arial"/>
          <w:color w:val="000000"/>
        </w:rPr>
        <w:t>euro</w:t>
      </w:r>
      <w:r w:rsidRPr="009C6425">
        <w:rPr>
          <w:rFonts w:cs="Arial"/>
          <w:color w:val="000000"/>
        </w:rPr>
        <w:t xml:space="preserve"> </w:t>
      </w:r>
      <w:r w:rsidR="007B43CA">
        <w:rPr>
          <w:rFonts w:cs="Arial"/>
          <w:color w:val="000000"/>
        </w:rPr>
        <w:t xml:space="preserve">odnose se na </w:t>
      </w:r>
      <w:r w:rsidRPr="009C6425">
        <w:rPr>
          <w:rFonts w:cs="Arial"/>
          <w:color w:val="000000"/>
        </w:rPr>
        <w:t>usluge čuvanja imovine i osoba</w:t>
      </w:r>
      <w:r w:rsidR="007B43CA">
        <w:rPr>
          <w:rFonts w:cs="Arial"/>
          <w:color w:val="000000"/>
        </w:rPr>
        <w:t>,</w:t>
      </w:r>
      <w:r w:rsidRPr="009C6425">
        <w:rPr>
          <w:rFonts w:cs="Arial"/>
          <w:color w:val="000000"/>
        </w:rPr>
        <w:t xml:space="preserve"> </w:t>
      </w:r>
      <w:r w:rsidR="007B43CA" w:rsidRPr="009C6425">
        <w:rPr>
          <w:rFonts w:cs="Arial"/>
          <w:color w:val="000000"/>
        </w:rPr>
        <w:t>usluge čišćenja i pranja</w:t>
      </w:r>
      <w:r w:rsidR="002B2777">
        <w:rPr>
          <w:rFonts w:cs="Arial"/>
          <w:color w:val="000000"/>
        </w:rPr>
        <w:t>,</w:t>
      </w:r>
      <w:r w:rsidR="007B43CA">
        <w:rPr>
          <w:rFonts w:cs="Arial"/>
          <w:color w:val="000000"/>
        </w:rPr>
        <w:t xml:space="preserve"> </w:t>
      </w:r>
      <w:r w:rsidRPr="009C6425">
        <w:rPr>
          <w:rFonts w:cs="Arial"/>
          <w:color w:val="000000"/>
        </w:rPr>
        <w:t xml:space="preserve">usluge tekućeg i investicijskog održavanja </w:t>
      </w:r>
      <w:r w:rsidR="002B2777" w:rsidRPr="009C6425">
        <w:rPr>
          <w:rFonts w:cs="Arial"/>
          <w:color w:val="000000"/>
        </w:rPr>
        <w:t xml:space="preserve">te ostale usluge </w:t>
      </w:r>
      <w:r w:rsidRPr="009C6425">
        <w:rPr>
          <w:rFonts w:cs="Arial"/>
          <w:color w:val="000000"/>
        </w:rPr>
        <w:t xml:space="preserve">za redovno održavanje </w:t>
      </w:r>
      <w:r w:rsidR="0085212F">
        <w:rPr>
          <w:rFonts w:cs="Arial"/>
          <w:color w:val="000000"/>
        </w:rPr>
        <w:t>poslovnih prostora</w:t>
      </w:r>
      <w:r w:rsidR="002B2777">
        <w:rPr>
          <w:rFonts w:cs="Arial"/>
          <w:color w:val="000000"/>
        </w:rPr>
        <w:t xml:space="preserve"> i</w:t>
      </w:r>
      <w:r w:rsidR="0085212F">
        <w:rPr>
          <w:rFonts w:cs="Arial"/>
          <w:color w:val="000000"/>
        </w:rPr>
        <w:t xml:space="preserve"> obnovu</w:t>
      </w:r>
      <w:r w:rsidRPr="009C6425">
        <w:rPr>
          <w:rFonts w:cs="Arial"/>
          <w:color w:val="000000"/>
        </w:rPr>
        <w:t xml:space="preserve"> dotrajalog p</w:t>
      </w:r>
      <w:r w:rsidR="00EC5D42">
        <w:rPr>
          <w:rFonts w:cs="Arial"/>
          <w:color w:val="000000"/>
        </w:rPr>
        <w:t>oslovnog prostora u Područnom uredu</w:t>
      </w:r>
      <w:r w:rsidR="00C70BA0">
        <w:rPr>
          <w:rFonts w:cs="Arial"/>
          <w:color w:val="000000"/>
        </w:rPr>
        <w:t xml:space="preserve"> Karlovac</w:t>
      </w:r>
      <w:r w:rsidR="002B2777">
        <w:rPr>
          <w:rFonts w:cs="Arial"/>
          <w:color w:val="000000"/>
        </w:rPr>
        <w:t xml:space="preserve">. </w:t>
      </w:r>
      <w:r w:rsidR="00C70BA0">
        <w:rPr>
          <w:rFonts w:cs="Arial"/>
          <w:color w:val="000000"/>
        </w:rPr>
        <w:t xml:space="preserve"> </w:t>
      </w:r>
    </w:p>
    <w:p w14:paraId="4F51CDE3" w14:textId="77777777" w:rsidR="0041051F" w:rsidRDefault="0041051F" w:rsidP="004E0224">
      <w:pPr>
        <w:widowControl/>
        <w:autoSpaceDE/>
        <w:autoSpaceDN/>
        <w:adjustRightInd/>
        <w:rPr>
          <w:rFonts w:cs="Arial"/>
          <w:color w:val="000000"/>
        </w:rPr>
      </w:pPr>
    </w:p>
    <w:p w14:paraId="7B33A6A3" w14:textId="1191D6C4" w:rsidR="004E0224" w:rsidRDefault="004E0224" w:rsidP="004E0224">
      <w:pPr>
        <w:widowControl/>
        <w:autoSpaceDE/>
        <w:autoSpaceDN/>
        <w:adjustRightInd/>
        <w:rPr>
          <w:rFonts w:cs="Arial"/>
          <w:color w:val="000000"/>
        </w:rPr>
      </w:pPr>
      <w:r>
        <w:rPr>
          <w:rFonts w:cs="Arial"/>
          <w:color w:val="000000"/>
        </w:rPr>
        <w:tab/>
      </w:r>
      <w:r w:rsidRPr="00680DCC">
        <w:rPr>
          <w:rFonts w:cs="Arial"/>
          <w:b/>
          <w:color w:val="000000"/>
        </w:rPr>
        <w:t>Materijalni rashodi (Izvor 31)</w:t>
      </w:r>
      <w:r w:rsidRPr="00680DCC">
        <w:rPr>
          <w:rFonts w:cs="Arial"/>
          <w:color w:val="000000"/>
        </w:rPr>
        <w:t xml:space="preserve"> izvršeni su u iznosu od </w:t>
      </w:r>
      <w:r w:rsidR="007267B5" w:rsidRPr="00680DCC">
        <w:rPr>
          <w:rFonts w:cs="Arial"/>
          <w:color w:val="000000"/>
        </w:rPr>
        <w:t>95.158,08</w:t>
      </w:r>
      <w:r w:rsidR="001B5725">
        <w:rPr>
          <w:rFonts w:cs="Arial"/>
          <w:color w:val="000000"/>
        </w:rPr>
        <w:t xml:space="preserve"> eura</w:t>
      </w:r>
      <w:r w:rsidRPr="00680DCC">
        <w:rPr>
          <w:rFonts w:cs="Arial"/>
          <w:color w:val="000000"/>
        </w:rPr>
        <w:t xml:space="preserve"> ili </w:t>
      </w:r>
      <w:r w:rsidR="007267B5" w:rsidRPr="00680DCC">
        <w:rPr>
          <w:rFonts w:cs="Arial"/>
          <w:color w:val="000000"/>
        </w:rPr>
        <w:t>59,51</w:t>
      </w:r>
      <w:r w:rsidRPr="00680DCC">
        <w:rPr>
          <w:rFonts w:cs="Arial"/>
          <w:color w:val="000000"/>
        </w:rPr>
        <w:t xml:space="preserve"> % u odnosu na tekući plan za 2023. </w:t>
      </w:r>
      <w:r w:rsidR="00171E0B">
        <w:rPr>
          <w:rFonts w:cs="Arial"/>
          <w:color w:val="000000"/>
        </w:rPr>
        <w:t xml:space="preserve">Rashodi u iznosu od 90.512,78 </w:t>
      </w:r>
      <w:r w:rsidR="001B5725">
        <w:rPr>
          <w:rFonts w:cs="Arial"/>
          <w:color w:val="000000"/>
        </w:rPr>
        <w:t>eura</w:t>
      </w:r>
      <w:r w:rsidR="00171E0B">
        <w:rPr>
          <w:rFonts w:cs="Arial"/>
          <w:color w:val="000000"/>
        </w:rPr>
        <w:t xml:space="preserve"> </w:t>
      </w:r>
      <w:r w:rsidR="00256627">
        <w:rPr>
          <w:rFonts w:cs="Arial"/>
          <w:color w:val="000000"/>
        </w:rPr>
        <w:t xml:space="preserve">vezani su </w:t>
      </w:r>
      <w:r w:rsidR="002B2777">
        <w:rPr>
          <w:rFonts w:cs="Arial"/>
          <w:color w:val="000000"/>
        </w:rPr>
        <w:t>z</w:t>
      </w:r>
      <w:r w:rsidR="00256627">
        <w:rPr>
          <w:rFonts w:cs="Arial"/>
          <w:color w:val="000000"/>
        </w:rPr>
        <w:t>a</w:t>
      </w:r>
      <w:r w:rsidR="002B2777">
        <w:rPr>
          <w:rFonts w:cs="Arial"/>
          <w:color w:val="000000"/>
        </w:rPr>
        <w:t xml:space="preserve"> </w:t>
      </w:r>
      <w:r w:rsidR="00171E0B">
        <w:rPr>
          <w:rFonts w:cs="Arial"/>
          <w:color w:val="000000"/>
        </w:rPr>
        <w:t xml:space="preserve">troškove </w:t>
      </w:r>
      <w:r w:rsidR="002B2777" w:rsidRPr="00680DCC">
        <w:rPr>
          <w:rFonts w:cs="Arial"/>
          <w:color w:val="000000"/>
        </w:rPr>
        <w:t>održavanj</w:t>
      </w:r>
      <w:r w:rsidR="00171E0B">
        <w:rPr>
          <w:rFonts w:cs="Arial"/>
          <w:color w:val="000000"/>
        </w:rPr>
        <w:t>a</w:t>
      </w:r>
      <w:r w:rsidR="002B2777" w:rsidRPr="00680DCC">
        <w:rPr>
          <w:rFonts w:cs="Arial"/>
          <w:color w:val="000000" w:themeColor="text1"/>
        </w:rPr>
        <w:t xml:space="preserve"> </w:t>
      </w:r>
      <w:r w:rsidR="002B2777" w:rsidRPr="00680DCC">
        <w:rPr>
          <w:rFonts w:cs="Arial"/>
          <w:color w:val="000000"/>
        </w:rPr>
        <w:t>godišnjeg seminara zaposlenika Ureda</w:t>
      </w:r>
      <w:r w:rsidR="00256627">
        <w:rPr>
          <w:rFonts w:cs="Arial"/>
          <w:color w:val="000000"/>
        </w:rPr>
        <w:t>,</w:t>
      </w:r>
      <w:r w:rsidR="002B2777" w:rsidRPr="00680DCC">
        <w:rPr>
          <w:rFonts w:cs="Arial"/>
          <w:color w:val="000000"/>
        </w:rPr>
        <w:t xml:space="preserve"> </w:t>
      </w:r>
      <w:r w:rsidR="002B2777">
        <w:rPr>
          <w:rFonts w:cs="Arial"/>
          <w:color w:val="000000"/>
        </w:rPr>
        <w:t xml:space="preserve">i to za: </w:t>
      </w:r>
      <w:r w:rsidR="002B2777" w:rsidRPr="00680DCC">
        <w:rPr>
          <w:rFonts w:cs="Arial"/>
          <w:color w:val="000000"/>
        </w:rPr>
        <w:t>službena putovanja</w:t>
      </w:r>
      <w:r w:rsidR="00171E0B">
        <w:rPr>
          <w:rFonts w:cs="Arial"/>
          <w:color w:val="000000"/>
        </w:rPr>
        <w:t xml:space="preserve">, </w:t>
      </w:r>
      <w:r w:rsidR="002B2777" w:rsidRPr="00680DCC">
        <w:rPr>
          <w:rFonts w:cs="Arial"/>
          <w:color w:val="000000"/>
        </w:rPr>
        <w:t>usluge prijevoza</w:t>
      </w:r>
      <w:r w:rsidR="00171E0B">
        <w:rPr>
          <w:rFonts w:cs="Arial"/>
          <w:color w:val="000000"/>
        </w:rPr>
        <w:t xml:space="preserve">, </w:t>
      </w:r>
      <w:r w:rsidR="00171E0B" w:rsidRPr="00680DCC">
        <w:rPr>
          <w:rFonts w:cs="Arial"/>
          <w:color w:val="000000"/>
        </w:rPr>
        <w:t>autorsk</w:t>
      </w:r>
      <w:r w:rsidR="00171E0B">
        <w:rPr>
          <w:rFonts w:cs="Arial"/>
          <w:color w:val="000000"/>
        </w:rPr>
        <w:t>e h</w:t>
      </w:r>
      <w:r w:rsidR="00171E0B" w:rsidRPr="00680DCC">
        <w:rPr>
          <w:rFonts w:cs="Arial"/>
          <w:color w:val="000000"/>
        </w:rPr>
        <w:t>onorar</w:t>
      </w:r>
      <w:r w:rsidR="00171E0B">
        <w:rPr>
          <w:rFonts w:cs="Arial"/>
          <w:color w:val="000000"/>
        </w:rPr>
        <w:t>e</w:t>
      </w:r>
      <w:r w:rsidR="00171E0B" w:rsidRPr="00680DCC">
        <w:rPr>
          <w:rFonts w:cs="Arial"/>
          <w:color w:val="000000"/>
        </w:rPr>
        <w:t xml:space="preserve"> predavačima </w:t>
      </w:r>
      <w:r w:rsidR="00171E0B">
        <w:rPr>
          <w:rFonts w:cs="Arial"/>
          <w:color w:val="000000"/>
        </w:rPr>
        <w:t>na seminari i rash</w:t>
      </w:r>
      <w:r w:rsidR="002B2777" w:rsidRPr="00680DCC">
        <w:rPr>
          <w:rFonts w:cs="Arial"/>
          <w:color w:val="000000"/>
        </w:rPr>
        <w:t>ode za reprezentaciju</w:t>
      </w:r>
      <w:r w:rsidR="00171E0B">
        <w:rPr>
          <w:rFonts w:cs="Arial"/>
          <w:color w:val="000000"/>
        </w:rPr>
        <w:t xml:space="preserve">. </w:t>
      </w:r>
      <w:r w:rsidR="002B2777">
        <w:rPr>
          <w:rFonts w:cs="Arial"/>
          <w:color w:val="000000"/>
        </w:rPr>
        <w:t xml:space="preserve">Navedeni rashodi financirani su </w:t>
      </w:r>
      <w:r w:rsidR="002B2777" w:rsidRPr="00680DCC">
        <w:rPr>
          <w:rFonts w:cs="Arial"/>
          <w:color w:val="000000"/>
        </w:rPr>
        <w:t>sredstvima ostvarenim provedbom Twinning projekta „Jačanje vanjske revizije i parlamentarnog nadzora, Sjeverna Makedonija”</w:t>
      </w:r>
      <w:r w:rsidR="002B2777">
        <w:rPr>
          <w:rFonts w:cs="Arial"/>
          <w:color w:val="000000"/>
        </w:rPr>
        <w:t xml:space="preserve">. </w:t>
      </w:r>
      <w:r w:rsidR="00413766">
        <w:rPr>
          <w:rFonts w:cs="Arial"/>
          <w:color w:val="000000"/>
        </w:rPr>
        <w:t xml:space="preserve">Isto tako, iz navedenog izvora financirani su rashodi za usluge </w:t>
      </w:r>
      <w:r w:rsidRPr="00680DCC">
        <w:rPr>
          <w:rFonts w:cs="Arial"/>
          <w:color w:val="000000"/>
        </w:rPr>
        <w:t xml:space="preserve">financijske revizije Twinning projekta </w:t>
      </w:r>
      <w:r w:rsidR="005972E2" w:rsidRPr="00680DCC">
        <w:rPr>
          <w:rFonts w:cs="Arial"/>
          <w:color w:val="000000"/>
        </w:rPr>
        <w:t>„</w:t>
      </w:r>
      <w:r w:rsidRPr="00680DCC">
        <w:rPr>
          <w:rFonts w:cs="Arial"/>
          <w:color w:val="000000"/>
        </w:rPr>
        <w:t>Unapređenje vanjske revizije i parlamentarnog nadzora</w:t>
      </w:r>
      <w:r w:rsidR="005972E2" w:rsidRPr="00680DCC">
        <w:rPr>
          <w:rFonts w:cs="Arial"/>
          <w:color w:val="000000"/>
        </w:rPr>
        <w:t>”</w:t>
      </w:r>
      <w:r w:rsidRPr="00680DCC">
        <w:rPr>
          <w:rFonts w:cs="Arial"/>
          <w:color w:val="000000"/>
        </w:rPr>
        <w:t xml:space="preserve"> u</w:t>
      </w:r>
      <w:r w:rsidR="00CD0013" w:rsidRPr="00680DCC">
        <w:rPr>
          <w:rFonts w:cs="Arial"/>
          <w:color w:val="000000"/>
        </w:rPr>
        <w:t xml:space="preserve"> Republici Sjevernoj Makedoniji </w:t>
      </w:r>
      <w:r w:rsidR="00256627">
        <w:rPr>
          <w:rFonts w:cs="Arial"/>
          <w:color w:val="000000"/>
        </w:rPr>
        <w:t xml:space="preserve">u iznosu od </w:t>
      </w:r>
      <w:r w:rsidR="00413766" w:rsidRPr="00413766">
        <w:rPr>
          <w:rFonts w:cs="Arial"/>
          <w:color w:val="000000"/>
        </w:rPr>
        <w:t xml:space="preserve">4.645,30 </w:t>
      </w:r>
      <w:r w:rsidR="001B5725">
        <w:rPr>
          <w:rFonts w:cs="Arial"/>
          <w:color w:val="000000"/>
        </w:rPr>
        <w:t>eura</w:t>
      </w:r>
      <w:r w:rsidR="00F00761" w:rsidRPr="00680DCC">
        <w:rPr>
          <w:rFonts w:cs="Arial"/>
          <w:color w:val="000000"/>
        </w:rPr>
        <w:t>.</w:t>
      </w:r>
      <w:r w:rsidR="0008291B">
        <w:rPr>
          <w:rFonts w:cs="Arial"/>
          <w:color w:val="000000"/>
        </w:rPr>
        <w:t xml:space="preserve"> </w:t>
      </w:r>
    </w:p>
    <w:p w14:paraId="72BD2E73" w14:textId="415B33F8" w:rsidR="008E4264" w:rsidRDefault="008E4264" w:rsidP="004E0224">
      <w:pPr>
        <w:widowControl/>
        <w:autoSpaceDE/>
        <w:autoSpaceDN/>
        <w:adjustRightInd/>
        <w:rPr>
          <w:rFonts w:cs="Arial"/>
          <w:color w:val="000000"/>
        </w:rPr>
      </w:pPr>
    </w:p>
    <w:p w14:paraId="30E19E09" w14:textId="7A45641E" w:rsidR="008E4264" w:rsidRPr="008E4264" w:rsidRDefault="008E4264" w:rsidP="008E4264">
      <w:pPr>
        <w:widowControl/>
        <w:autoSpaceDE/>
        <w:autoSpaceDN/>
        <w:adjustRightInd/>
        <w:rPr>
          <w:rFonts w:cs="Arial"/>
          <w:color w:val="000000"/>
        </w:rPr>
      </w:pPr>
      <w:r>
        <w:rPr>
          <w:rFonts w:cs="Arial"/>
          <w:color w:val="000000"/>
        </w:rPr>
        <w:tab/>
      </w:r>
      <w:r w:rsidRPr="008E4264">
        <w:rPr>
          <w:rFonts w:cs="Arial"/>
          <w:b/>
          <w:color w:val="000000"/>
        </w:rPr>
        <w:t>Naknade građanima i kućanstvima na temelju osiguranja i druge naknade</w:t>
      </w:r>
      <w:r>
        <w:rPr>
          <w:rFonts w:cs="Arial"/>
          <w:color w:val="000000"/>
        </w:rPr>
        <w:t xml:space="preserve"> izvršeni su u iznosu </w:t>
      </w:r>
      <w:r w:rsidR="00A442DA">
        <w:rPr>
          <w:rFonts w:cs="Arial"/>
          <w:color w:val="000000"/>
        </w:rPr>
        <w:t xml:space="preserve">od </w:t>
      </w:r>
      <w:r>
        <w:rPr>
          <w:rFonts w:cs="Arial"/>
          <w:color w:val="000000"/>
        </w:rPr>
        <w:t xml:space="preserve">2.389,01 </w:t>
      </w:r>
      <w:r w:rsidR="00092F20">
        <w:rPr>
          <w:rFonts w:cs="Arial"/>
          <w:color w:val="000000"/>
        </w:rPr>
        <w:t>euro</w:t>
      </w:r>
      <w:r>
        <w:rPr>
          <w:rFonts w:cs="Arial"/>
          <w:color w:val="000000"/>
        </w:rPr>
        <w:t xml:space="preserve"> ili 22,50 % u odnosu na tekući plan za 2023., a odnose se na</w:t>
      </w:r>
      <w:r w:rsidRPr="008E4264">
        <w:rPr>
          <w:rFonts w:cs="Arial"/>
        </w:rPr>
        <w:t xml:space="preserve"> </w:t>
      </w:r>
      <w:r w:rsidRPr="008E4264">
        <w:rPr>
          <w:rFonts w:cs="Arial"/>
          <w:color w:val="000000"/>
        </w:rPr>
        <w:t>školarine koje se</w:t>
      </w:r>
      <w:r w:rsidR="00A45A04">
        <w:rPr>
          <w:rFonts w:cs="Arial"/>
          <w:color w:val="000000"/>
        </w:rPr>
        <w:t xml:space="preserve">, u skladu s uvjetima i kriterijima utvrđenim Pravilnikom o stručnom usavršavanju i obrazovanju </w:t>
      </w:r>
      <w:r w:rsidR="00950AB3">
        <w:rPr>
          <w:rFonts w:cs="Arial"/>
          <w:color w:val="000000"/>
        </w:rPr>
        <w:t>u Državnom uredu za reviziju</w:t>
      </w:r>
      <w:r w:rsidR="00A45A04">
        <w:rPr>
          <w:rFonts w:cs="Arial"/>
          <w:color w:val="000000"/>
        </w:rPr>
        <w:t xml:space="preserve">, </w:t>
      </w:r>
      <w:r w:rsidRPr="008E4264">
        <w:rPr>
          <w:rFonts w:cs="Arial"/>
          <w:color w:val="000000"/>
        </w:rPr>
        <w:t>financiraju zaposlenicima u cijelosti ili 50 % od ukupnog iznosa školarine.</w:t>
      </w:r>
    </w:p>
    <w:p w14:paraId="62E58756" w14:textId="0F523B0B" w:rsidR="008E4264" w:rsidRPr="00041D2F" w:rsidRDefault="008E4264" w:rsidP="004E0224">
      <w:pPr>
        <w:widowControl/>
        <w:autoSpaceDE/>
        <w:autoSpaceDN/>
        <w:adjustRightInd/>
        <w:rPr>
          <w:rFonts w:cs="Arial"/>
          <w:color w:val="000000"/>
        </w:rPr>
      </w:pPr>
      <w:r>
        <w:rPr>
          <w:rFonts w:cs="Arial"/>
          <w:color w:val="000000"/>
        </w:rPr>
        <w:t xml:space="preserve"> </w:t>
      </w:r>
    </w:p>
    <w:p w14:paraId="3DB55172" w14:textId="39E8C3D1" w:rsidR="004E0224" w:rsidRPr="00CA357C" w:rsidRDefault="004E0224" w:rsidP="004E0224">
      <w:pPr>
        <w:ind w:firstLine="567"/>
        <w:rPr>
          <w:rFonts w:cs="Arial"/>
        </w:rPr>
      </w:pPr>
      <w:r w:rsidRPr="00CA357C">
        <w:rPr>
          <w:rFonts w:cs="Arial"/>
          <w:b/>
        </w:rPr>
        <w:t>Rashodi za nabavu proizvedene dugotrajne imovine</w:t>
      </w:r>
      <w:r w:rsidRPr="00CA357C">
        <w:rPr>
          <w:rFonts w:cs="Arial"/>
        </w:rPr>
        <w:t xml:space="preserve"> </w:t>
      </w:r>
      <w:r>
        <w:rPr>
          <w:rFonts w:cs="Arial"/>
        </w:rPr>
        <w:t xml:space="preserve">izvršeni su u iznosu od </w:t>
      </w:r>
      <w:r w:rsidR="009D428C">
        <w:rPr>
          <w:rFonts w:cs="Arial"/>
        </w:rPr>
        <w:t>51.217,68</w:t>
      </w:r>
      <w:r w:rsidRPr="00CA357C">
        <w:rPr>
          <w:rFonts w:cs="Arial"/>
        </w:rPr>
        <w:t xml:space="preserve"> </w:t>
      </w:r>
      <w:r w:rsidR="00092F20">
        <w:rPr>
          <w:rFonts w:cs="Arial"/>
        </w:rPr>
        <w:t>eura</w:t>
      </w:r>
      <w:r w:rsidRPr="00CA357C">
        <w:rPr>
          <w:rFonts w:cs="Arial"/>
        </w:rPr>
        <w:t xml:space="preserve"> ili </w:t>
      </w:r>
      <w:r w:rsidR="009D428C">
        <w:rPr>
          <w:rFonts w:cs="Arial"/>
        </w:rPr>
        <w:t>96,78</w:t>
      </w:r>
      <w:r w:rsidRPr="00CA357C">
        <w:rPr>
          <w:rFonts w:cs="Arial"/>
        </w:rPr>
        <w:t xml:space="preserve"> % u odnosu na tekući p</w:t>
      </w:r>
      <w:r w:rsidR="009D428C">
        <w:rPr>
          <w:rFonts w:cs="Arial"/>
        </w:rPr>
        <w:t>lan za 2023</w:t>
      </w:r>
      <w:r w:rsidRPr="00CA357C">
        <w:rPr>
          <w:rFonts w:cs="Arial"/>
        </w:rPr>
        <w:t xml:space="preserve">. Vrijednosno </w:t>
      </w:r>
      <w:r w:rsidR="009D428C">
        <w:rPr>
          <w:rFonts w:cs="Arial"/>
        </w:rPr>
        <w:t>naj</w:t>
      </w:r>
      <w:r w:rsidRPr="00CA357C">
        <w:rPr>
          <w:rFonts w:cs="Arial"/>
        </w:rPr>
        <w:t>značajnij</w:t>
      </w:r>
      <w:r w:rsidR="00950AB3">
        <w:rPr>
          <w:rFonts w:cs="Arial"/>
        </w:rPr>
        <w:t>i</w:t>
      </w:r>
      <w:r w:rsidRPr="00CA357C">
        <w:rPr>
          <w:rFonts w:cs="Arial"/>
        </w:rPr>
        <w:t xml:space="preserve"> </w:t>
      </w:r>
      <w:r w:rsidR="00950AB3">
        <w:rPr>
          <w:rFonts w:cs="Arial"/>
        </w:rPr>
        <w:t xml:space="preserve">su </w:t>
      </w:r>
      <w:r w:rsidR="009D428C">
        <w:rPr>
          <w:rFonts w:cs="Arial"/>
        </w:rPr>
        <w:t>rashodi za</w:t>
      </w:r>
      <w:r w:rsidRPr="00CA357C">
        <w:rPr>
          <w:rFonts w:cs="Arial"/>
        </w:rPr>
        <w:t xml:space="preserve"> </w:t>
      </w:r>
      <w:r w:rsidR="005972E2">
        <w:rPr>
          <w:rFonts w:cs="Arial"/>
        </w:rPr>
        <w:t>nabavu</w:t>
      </w:r>
      <w:r w:rsidRPr="00CA357C">
        <w:rPr>
          <w:rFonts w:cs="Arial"/>
        </w:rPr>
        <w:t xml:space="preserve"> uredske opreme i namješt</w:t>
      </w:r>
      <w:r w:rsidR="005972E2">
        <w:rPr>
          <w:rFonts w:cs="Arial"/>
        </w:rPr>
        <w:t xml:space="preserve">aja </w:t>
      </w:r>
      <w:r w:rsidR="00B74494">
        <w:rPr>
          <w:rFonts w:cs="Arial"/>
        </w:rPr>
        <w:t xml:space="preserve">te </w:t>
      </w:r>
      <w:r w:rsidR="00B74494" w:rsidRPr="00B74494">
        <w:rPr>
          <w:rFonts w:cs="Arial"/>
        </w:rPr>
        <w:t>ugradnj</w:t>
      </w:r>
      <w:r w:rsidR="00950AB3">
        <w:rPr>
          <w:rFonts w:cs="Arial"/>
        </w:rPr>
        <w:t>u</w:t>
      </w:r>
      <w:r w:rsidR="00B74494" w:rsidRPr="00B74494">
        <w:rPr>
          <w:rFonts w:cs="Arial"/>
        </w:rPr>
        <w:t xml:space="preserve"> sustava </w:t>
      </w:r>
      <w:proofErr w:type="spellStart"/>
      <w:r w:rsidR="00B74494" w:rsidRPr="00B74494">
        <w:rPr>
          <w:rFonts w:cs="Arial"/>
        </w:rPr>
        <w:t>videonadzora</w:t>
      </w:r>
      <w:proofErr w:type="spellEnd"/>
      <w:r w:rsidR="00B74494" w:rsidRPr="00B74494">
        <w:rPr>
          <w:rFonts w:cs="Arial"/>
        </w:rPr>
        <w:t xml:space="preserve"> i sustava </w:t>
      </w:r>
      <w:proofErr w:type="spellStart"/>
      <w:r w:rsidR="00B74494" w:rsidRPr="00B74494">
        <w:rPr>
          <w:rFonts w:cs="Arial"/>
        </w:rPr>
        <w:t>protuprovale</w:t>
      </w:r>
      <w:proofErr w:type="spellEnd"/>
      <w:r w:rsidR="00B74494">
        <w:rPr>
          <w:rFonts w:cs="Arial"/>
        </w:rPr>
        <w:t xml:space="preserve"> </w:t>
      </w:r>
      <w:r w:rsidR="005972E2">
        <w:rPr>
          <w:rFonts w:cs="Arial"/>
        </w:rPr>
        <w:t>u Središnjem uredu</w:t>
      </w:r>
      <w:r w:rsidR="00950AB3">
        <w:rPr>
          <w:rFonts w:cs="Arial"/>
        </w:rPr>
        <w:t xml:space="preserve"> i područnim uredima. </w:t>
      </w:r>
    </w:p>
    <w:p w14:paraId="700246BF" w14:textId="77777777" w:rsidR="004E0224" w:rsidRPr="00CA357C" w:rsidRDefault="004E0224" w:rsidP="004E0224">
      <w:pPr>
        <w:ind w:firstLine="567"/>
        <w:rPr>
          <w:rFonts w:cs="Arial"/>
          <w:i/>
        </w:rPr>
      </w:pPr>
    </w:p>
    <w:p w14:paraId="1C6C2032" w14:textId="4DF71C52" w:rsidR="00EB15BA" w:rsidRPr="00F32AAB" w:rsidRDefault="004E0224" w:rsidP="00F32AAB">
      <w:pPr>
        <w:ind w:firstLine="567"/>
        <w:rPr>
          <w:rFonts w:cs="Arial"/>
        </w:rPr>
      </w:pPr>
      <w:r w:rsidRPr="00BE6BDD">
        <w:rPr>
          <w:rFonts w:cs="Arial"/>
          <w:b/>
        </w:rPr>
        <w:t>Rashodi za dodatna ulaganja na nefinancijskoj imovini (Izvor 11)</w:t>
      </w:r>
      <w:r w:rsidR="009105A5">
        <w:rPr>
          <w:rFonts w:cs="Arial"/>
        </w:rPr>
        <w:t xml:space="preserve"> izvršeni su u</w:t>
      </w:r>
      <w:r w:rsidR="00A83945">
        <w:rPr>
          <w:rFonts w:cs="Arial"/>
        </w:rPr>
        <w:t xml:space="preserve"> ukupnom</w:t>
      </w:r>
      <w:r w:rsidR="009105A5">
        <w:rPr>
          <w:rFonts w:cs="Arial"/>
        </w:rPr>
        <w:t xml:space="preserve"> iznosu </w:t>
      </w:r>
      <w:r w:rsidRPr="00BE6BDD">
        <w:rPr>
          <w:rFonts w:cs="Arial"/>
        </w:rPr>
        <w:t xml:space="preserve">od </w:t>
      </w:r>
      <w:r w:rsidR="00B74494">
        <w:rPr>
          <w:rFonts w:cs="Arial"/>
        </w:rPr>
        <w:t>361.496,28</w:t>
      </w:r>
      <w:r w:rsidR="00092F20">
        <w:rPr>
          <w:rFonts w:cs="Arial"/>
        </w:rPr>
        <w:t xml:space="preserve"> eura</w:t>
      </w:r>
      <w:r w:rsidRPr="00BE6BDD">
        <w:rPr>
          <w:rFonts w:cs="Arial"/>
        </w:rPr>
        <w:t xml:space="preserve"> ili</w:t>
      </w:r>
      <w:r w:rsidR="00B74494">
        <w:rPr>
          <w:rFonts w:cs="Arial"/>
        </w:rPr>
        <w:t xml:space="preserve"> 99,63</w:t>
      </w:r>
      <w:r w:rsidRPr="00BE6BDD">
        <w:rPr>
          <w:rFonts w:cs="Arial"/>
        </w:rPr>
        <w:t xml:space="preserve"> % u o</w:t>
      </w:r>
      <w:r w:rsidR="00B74494">
        <w:rPr>
          <w:rFonts w:cs="Arial"/>
        </w:rPr>
        <w:t>dnosu na tekući plan za 2023</w:t>
      </w:r>
      <w:r w:rsidRPr="00BE6BDD">
        <w:rPr>
          <w:rFonts w:cs="Arial"/>
        </w:rPr>
        <w:t xml:space="preserve">. Izvršenje navedenih rashoda </w:t>
      </w:r>
      <w:r w:rsidR="005E5C38">
        <w:rPr>
          <w:rFonts w:cs="Arial"/>
        </w:rPr>
        <w:t xml:space="preserve">u iznosu od </w:t>
      </w:r>
      <w:r w:rsidR="00A83945">
        <w:rPr>
          <w:rFonts w:cs="Arial"/>
        </w:rPr>
        <w:t xml:space="preserve">298.818,03 </w:t>
      </w:r>
      <w:r w:rsidR="00092F20">
        <w:rPr>
          <w:rFonts w:cs="Arial"/>
        </w:rPr>
        <w:t>eura</w:t>
      </w:r>
      <w:r w:rsidR="00A83945">
        <w:rPr>
          <w:rFonts w:cs="Arial"/>
        </w:rPr>
        <w:t xml:space="preserve"> </w:t>
      </w:r>
      <w:r w:rsidRPr="00BE6BDD">
        <w:rPr>
          <w:rFonts w:cs="Arial"/>
        </w:rPr>
        <w:t>odnosi</w:t>
      </w:r>
      <w:r w:rsidR="00A83945">
        <w:rPr>
          <w:rFonts w:cs="Arial"/>
        </w:rPr>
        <w:t xml:space="preserve"> se</w:t>
      </w:r>
      <w:r w:rsidRPr="00BE6BDD">
        <w:rPr>
          <w:rFonts w:cs="Arial"/>
        </w:rPr>
        <w:t xml:space="preserve"> na dodatna ulaganja na građevinskim objektima</w:t>
      </w:r>
      <w:r w:rsidR="0088243B">
        <w:rPr>
          <w:rFonts w:cs="Arial"/>
        </w:rPr>
        <w:t>,</w:t>
      </w:r>
      <w:r w:rsidRPr="00BE6BDD">
        <w:rPr>
          <w:rFonts w:cs="Arial"/>
        </w:rPr>
        <w:t xml:space="preserve"> </w:t>
      </w:r>
      <w:r w:rsidR="0053404F">
        <w:rPr>
          <w:rFonts w:cs="Arial"/>
        </w:rPr>
        <w:t xml:space="preserve">i to za: </w:t>
      </w:r>
      <w:r w:rsidRPr="00BE6BDD">
        <w:rPr>
          <w:rFonts w:cs="Arial"/>
        </w:rPr>
        <w:t xml:space="preserve">izradu projekta cjelovite obnove i projektnog zadataka za zgrade oštećene potresom na lokacijama </w:t>
      </w:r>
      <w:proofErr w:type="spellStart"/>
      <w:r w:rsidRPr="00BE6BDD">
        <w:rPr>
          <w:rFonts w:cs="Arial"/>
        </w:rPr>
        <w:t>Tkalčićeva</w:t>
      </w:r>
      <w:proofErr w:type="spellEnd"/>
      <w:r w:rsidRPr="00BE6BDD">
        <w:rPr>
          <w:rFonts w:cs="Arial"/>
        </w:rPr>
        <w:t xml:space="preserve"> 19 i </w:t>
      </w:r>
      <w:proofErr w:type="spellStart"/>
      <w:r w:rsidRPr="00BE6BDD">
        <w:rPr>
          <w:rFonts w:cs="Arial"/>
        </w:rPr>
        <w:t>Bogovićeva</w:t>
      </w:r>
      <w:proofErr w:type="spellEnd"/>
      <w:r w:rsidRPr="00BE6BDD">
        <w:rPr>
          <w:rFonts w:cs="Arial"/>
        </w:rPr>
        <w:t xml:space="preserve"> 1a</w:t>
      </w:r>
      <w:r w:rsidR="00A83945">
        <w:rPr>
          <w:rFonts w:cs="Arial"/>
        </w:rPr>
        <w:t>,</w:t>
      </w:r>
      <w:r w:rsidRPr="00BE6BDD">
        <w:rPr>
          <w:rFonts w:cs="Arial"/>
        </w:rPr>
        <w:t xml:space="preserve"> usluge stručnog nadzora nad izvođenjem radova</w:t>
      </w:r>
      <w:r w:rsidR="0053404F">
        <w:rPr>
          <w:rFonts w:cs="Arial"/>
        </w:rPr>
        <w:t xml:space="preserve">, za </w:t>
      </w:r>
      <w:r w:rsidRPr="00BE6BDD">
        <w:rPr>
          <w:rFonts w:cs="Arial"/>
        </w:rPr>
        <w:t xml:space="preserve">građevinske radove sanacije kapilarne vlage i vanjskih potpornih zidova </w:t>
      </w:r>
      <w:r w:rsidR="0053404F">
        <w:rPr>
          <w:rFonts w:cs="Arial"/>
        </w:rPr>
        <w:t>n</w:t>
      </w:r>
      <w:r w:rsidRPr="00BE6BDD">
        <w:rPr>
          <w:rFonts w:cs="Arial"/>
        </w:rPr>
        <w:t>a zgrad</w:t>
      </w:r>
      <w:r w:rsidR="0053404F">
        <w:rPr>
          <w:rFonts w:cs="Arial"/>
        </w:rPr>
        <w:t>i</w:t>
      </w:r>
      <w:r w:rsidRPr="00BE6BDD">
        <w:rPr>
          <w:rFonts w:cs="Arial"/>
        </w:rPr>
        <w:t xml:space="preserve"> na lokaciji </w:t>
      </w:r>
      <w:proofErr w:type="spellStart"/>
      <w:r w:rsidRPr="00BE6BDD">
        <w:rPr>
          <w:rFonts w:cs="Arial"/>
        </w:rPr>
        <w:t>Tkalčićeva</w:t>
      </w:r>
      <w:proofErr w:type="spellEnd"/>
      <w:r w:rsidRPr="00BE6BDD">
        <w:rPr>
          <w:rFonts w:cs="Arial"/>
        </w:rPr>
        <w:t xml:space="preserve"> 67</w:t>
      </w:r>
      <w:r w:rsidR="00A83945">
        <w:rPr>
          <w:rFonts w:cs="Arial"/>
        </w:rPr>
        <w:t xml:space="preserve"> te izradu geotehničkog elaborata za lokaciju </w:t>
      </w:r>
      <w:proofErr w:type="spellStart"/>
      <w:r w:rsidR="00A83945">
        <w:rPr>
          <w:rFonts w:cs="Arial"/>
        </w:rPr>
        <w:t>Tkalčićeva</w:t>
      </w:r>
      <w:proofErr w:type="spellEnd"/>
      <w:r w:rsidR="00A83945">
        <w:rPr>
          <w:rFonts w:cs="Arial"/>
        </w:rPr>
        <w:t xml:space="preserve"> 19</w:t>
      </w:r>
      <w:r w:rsidRPr="00BE6BDD">
        <w:rPr>
          <w:rFonts w:cs="Arial"/>
        </w:rPr>
        <w:t xml:space="preserve">. </w:t>
      </w:r>
      <w:r w:rsidR="00A83945">
        <w:rPr>
          <w:rFonts w:cs="Arial"/>
        </w:rPr>
        <w:t>N</w:t>
      </w:r>
      <w:r w:rsidR="005E5C38">
        <w:rPr>
          <w:rFonts w:cs="Arial"/>
        </w:rPr>
        <w:t xml:space="preserve">adalje, </w:t>
      </w:r>
      <w:r w:rsidR="00A83945">
        <w:rPr>
          <w:rFonts w:cs="Arial"/>
        </w:rPr>
        <w:t>rashod</w:t>
      </w:r>
      <w:r w:rsidR="0053404F">
        <w:rPr>
          <w:rFonts w:cs="Arial"/>
        </w:rPr>
        <w:t xml:space="preserve">i </w:t>
      </w:r>
      <w:r w:rsidR="00A83945">
        <w:rPr>
          <w:rFonts w:cs="Arial"/>
        </w:rPr>
        <w:t xml:space="preserve">u iznosu </w:t>
      </w:r>
      <w:r w:rsidR="0053404F">
        <w:rPr>
          <w:rFonts w:cs="Arial"/>
        </w:rPr>
        <w:t xml:space="preserve">od </w:t>
      </w:r>
      <w:r w:rsidR="00A83945">
        <w:rPr>
          <w:rFonts w:cs="Arial"/>
        </w:rPr>
        <w:t xml:space="preserve">62.678,25 </w:t>
      </w:r>
      <w:r w:rsidR="00092F20">
        <w:rPr>
          <w:rFonts w:cs="Arial"/>
        </w:rPr>
        <w:t>eura</w:t>
      </w:r>
      <w:r w:rsidR="00A83945">
        <w:rPr>
          <w:rFonts w:cs="Arial"/>
        </w:rPr>
        <w:t xml:space="preserve"> </w:t>
      </w:r>
      <w:r w:rsidR="005E5C38">
        <w:rPr>
          <w:rFonts w:cs="Arial"/>
        </w:rPr>
        <w:t>odnos</w:t>
      </w:r>
      <w:r w:rsidR="0053404F">
        <w:rPr>
          <w:rFonts w:cs="Arial"/>
        </w:rPr>
        <w:t xml:space="preserve">e </w:t>
      </w:r>
      <w:r w:rsidR="005E5C38">
        <w:rPr>
          <w:rFonts w:cs="Arial"/>
        </w:rPr>
        <w:t>se na</w:t>
      </w:r>
      <w:r w:rsidR="00A83945">
        <w:rPr>
          <w:rFonts w:cs="Arial"/>
        </w:rPr>
        <w:t xml:space="preserve"> </w:t>
      </w:r>
      <w:r w:rsidR="00A83945" w:rsidRPr="00A83945">
        <w:rPr>
          <w:rFonts w:cs="Arial"/>
        </w:rPr>
        <w:t>radov</w:t>
      </w:r>
      <w:r w:rsidR="00A83945">
        <w:rPr>
          <w:rFonts w:cs="Arial"/>
        </w:rPr>
        <w:t>e</w:t>
      </w:r>
      <w:r w:rsidR="00A83945" w:rsidRPr="00A83945">
        <w:rPr>
          <w:rFonts w:cs="Arial"/>
        </w:rPr>
        <w:t xml:space="preserve"> na </w:t>
      </w:r>
      <w:r w:rsidR="0053404F">
        <w:rPr>
          <w:rFonts w:cs="Arial"/>
        </w:rPr>
        <w:t xml:space="preserve">uređenju i obnove zgrade i </w:t>
      </w:r>
      <w:r w:rsidR="00A83945" w:rsidRPr="00A83945">
        <w:rPr>
          <w:rFonts w:cs="Arial"/>
        </w:rPr>
        <w:t>parkiralištu</w:t>
      </w:r>
      <w:r w:rsidR="0088243B">
        <w:rPr>
          <w:rFonts w:cs="Arial"/>
        </w:rPr>
        <w:t xml:space="preserve"> u Područnom uredu</w:t>
      </w:r>
      <w:r w:rsidR="00A83945">
        <w:rPr>
          <w:rFonts w:cs="Arial"/>
        </w:rPr>
        <w:t xml:space="preserve"> Osijek.</w:t>
      </w:r>
    </w:p>
    <w:p w14:paraId="45F4BDE7" w14:textId="437CD76D" w:rsidR="004E0224" w:rsidRPr="00CA357C" w:rsidRDefault="004E0224" w:rsidP="004E0224">
      <w:pPr>
        <w:ind w:firstLine="709"/>
        <w:rPr>
          <w:rFonts w:cs="Arial"/>
        </w:rPr>
      </w:pPr>
      <w:r w:rsidRPr="00C12671">
        <w:rPr>
          <w:rFonts w:cs="Arial"/>
          <w:b/>
          <w:color w:val="000000"/>
        </w:rPr>
        <w:lastRenderedPageBreak/>
        <w:t xml:space="preserve">Rashodi za dodatna ulaganja na nefinancijskoj imovini (Izvor 5761) </w:t>
      </w:r>
      <w:r w:rsidRPr="00C12671">
        <w:rPr>
          <w:rFonts w:cs="Arial"/>
          <w:color w:val="000000"/>
        </w:rPr>
        <w:t>izvršeni su u iznosu od 357.</w:t>
      </w:r>
      <w:r w:rsidR="005E1441">
        <w:rPr>
          <w:rFonts w:cs="Arial"/>
          <w:color w:val="000000"/>
        </w:rPr>
        <w:t>716,99</w:t>
      </w:r>
      <w:r w:rsidRPr="00C12671">
        <w:rPr>
          <w:rFonts w:cs="Arial"/>
          <w:color w:val="000000"/>
        </w:rPr>
        <w:t xml:space="preserve"> </w:t>
      </w:r>
      <w:r w:rsidR="00092F20">
        <w:rPr>
          <w:rFonts w:cs="Arial"/>
          <w:color w:val="000000"/>
        </w:rPr>
        <w:t>eura</w:t>
      </w:r>
      <w:r w:rsidRPr="00C12671">
        <w:rPr>
          <w:rFonts w:cs="Arial"/>
          <w:color w:val="000000"/>
        </w:rPr>
        <w:t xml:space="preserve"> ili </w:t>
      </w:r>
      <w:r w:rsidR="005E1441">
        <w:rPr>
          <w:rFonts w:cs="Arial"/>
          <w:color w:val="000000"/>
        </w:rPr>
        <w:t>99,98</w:t>
      </w:r>
      <w:r w:rsidRPr="00C12671">
        <w:rPr>
          <w:rFonts w:cs="Arial"/>
          <w:color w:val="000000"/>
        </w:rPr>
        <w:t xml:space="preserve"> % u odnosu na tekući plan za 2023. </w:t>
      </w:r>
      <w:r w:rsidRPr="00C12671">
        <w:rPr>
          <w:rFonts w:cs="Arial"/>
        </w:rPr>
        <w:t>Izvršenje navedenih rashoda u cijelosti se odnosi na obnovu konstrukcije zgrada oštećenih potresom na lokacijam</w:t>
      </w:r>
      <w:r w:rsidR="005972E2">
        <w:rPr>
          <w:rFonts w:cs="Arial"/>
        </w:rPr>
        <w:t xml:space="preserve">a </w:t>
      </w:r>
      <w:proofErr w:type="spellStart"/>
      <w:r w:rsidR="005972E2">
        <w:rPr>
          <w:rFonts w:cs="Arial"/>
        </w:rPr>
        <w:t>Tkalčićeva</w:t>
      </w:r>
      <w:proofErr w:type="spellEnd"/>
      <w:r w:rsidR="005972E2">
        <w:rPr>
          <w:rFonts w:cs="Arial"/>
        </w:rPr>
        <w:t xml:space="preserve"> 19 i </w:t>
      </w:r>
      <w:proofErr w:type="spellStart"/>
      <w:r w:rsidR="005972E2">
        <w:rPr>
          <w:rFonts w:cs="Arial"/>
        </w:rPr>
        <w:t>Bogovićeva</w:t>
      </w:r>
      <w:proofErr w:type="spellEnd"/>
      <w:r w:rsidR="005972E2">
        <w:rPr>
          <w:rFonts w:cs="Arial"/>
        </w:rPr>
        <w:t xml:space="preserve"> 1a</w:t>
      </w:r>
      <w:r w:rsidRPr="00C12671">
        <w:rPr>
          <w:rFonts w:cs="Arial"/>
          <w:color w:val="000000"/>
        </w:rPr>
        <w:t xml:space="preserve">, </w:t>
      </w:r>
      <w:r w:rsidR="004432D6">
        <w:rPr>
          <w:rFonts w:cs="Arial"/>
          <w:color w:val="000000"/>
        </w:rPr>
        <w:t xml:space="preserve">a </w:t>
      </w:r>
      <w:r w:rsidRPr="00C12671">
        <w:rPr>
          <w:rFonts w:cs="Arial"/>
          <w:color w:val="000000"/>
        </w:rPr>
        <w:t xml:space="preserve">prema ugovorima </w:t>
      </w:r>
      <w:r w:rsidR="005972E2">
        <w:rPr>
          <w:rFonts w:cs="Arial"/>
          <w:color w:val="000000"/>
        </w:rPr>
        <w:t xml:space="preserve">koji su sklopljeni između </w:t>
      </w:r>
      <w:r w:rsidRPr="00C12671">
        <w:rPr>
          <w:rFonts w:cs="Arial"/>
          <w:color w:val="000000"/>
        </w:rPr>
        <w:t>Ministarstva kulture i medija i Državnog ureda za reviziju.</w:t>
      </w:r>
    </w:p>
    <w:p w14:paraId="592626FA" w14:textId="77777777" w:rsidR="004E0224" w:rsidRPr="00CA357C" w:rsidRDefault="004E0224" w:rsidP="004E0224">
      <w:pPr>
        <w:tabs>
          <w:tab w:val="left" w:pos="113"/>
          <w:tab w:val="left" w:pos="993"/>
        </w:tabs>
        <w:rPr>
          <w:rFonts w:cs="Arial"/>
          <w:color w:val="000000"/>
        </w:rPr>
      </w:pPr>
    </w:p>
    <w:p w14:paraId="27B2196B" w14:textId="77777777" w:rsidR="004E0224" w:rsidRPr="00CA357C" w:rsidRDefault="004E0224" w:rsidP="004E0224">
      <w:pPr>
        <w:tabs>
          <w:tab w:val="left" w:pos="113"/>
          <w:tab w:val="left" w:pos="993"/>
        </w:tabs>
        <w:rPr>
          <w:rFonts w:cs="Arial"/>
          <w:color w:val="000000"/>
        </w:rPr>
      </w:pPr>
    </w:p>
    <w:p w14:paraId="7685D41E" w14:textId="77777777" w:rsidR="004E0224" w:rsidRPr="00CA357C" w:rsidRDefault="004E0224" w:rsidP="004E0224">
      <w:pPr>
        <w:pStyle w:val="Naslov3"/>
        <w:rPr>
          <w:rFonts w:ascii="Arial" w:hAnsi="Arial" w:cs="Arial"/>
          <w:b/>
          <w:bCs/>
          <w:i/>
          <w:iCs/>
          <w:color w:val="auto"/>
        </w:rPr>
      </w:pPr>
      <w:bookmarkStart w:id="6" w:name="_Toc162444742"/>
      <w:r>
        <w:rPr>
          <w:rFonts w:ascii="Arial" w:hAnsi="Arial" w:cs="Arial"/>
          <w:b/>
          <w:bCs/>
          <w:i/>
          <w:iCs/>
          <w:color w:val="auto"/>
        </w:rPr>
        <w:t>2.2</w:t>
      </w:r>
      <w:r w:rsidRPr="00CA357C">
        <w:rPr>
          <w:rFonts w:ascii="Arial" w:hAnsi="Arial" w:cs="Arial"/>
          <w:b/>
          <w:bCs/>
          <w:i/>
          <w:iCs/>
          <w:color w:val="auto"/>
        </w:rPr>
        <w:t>.2. Kapitalni projekt K 665001 – Informatizacija</w:t>
      </w:r>
      <w:bookmarkEnd w:id="6"/>
    </w:p>
    <w:p w14:paraId="07277039" w14:textId="77777777" w:rsidR="004E0224" w:rsidRPr="00CA357C" w:rsidRDefault="004E0224" w:rsidP="004E0224">
      <w:pPr>
        <w:rPr>
          <w:rFonts w:cs="Arial"/>
        </w:rPr>
      </w:pPr>
    </w:p>
    <w:p w14:paraId="0F08EEC9" w14:textId="048707A9" w:rsidR="004E0224" w:rsidRPr="00CA357C" w:rsidRDefault="004E0224" w:rsidP="000921D5">
      <w:pPr>
        <w:ind w:firstLine="567"/>
        <w:rPr>
          <w:rFonts w:cs="Arial"/>
        </w:rPr>
      </w:pPr>
      <w:r w:rsidRPr="00CA357C">
        <w:rPr>
          <w:rFonts w:cs="Arial"/>
        </w:rPr>
        <w:tab/>
        <w:t>Aktivnost K 665001 – Informatizacija odnosi se na informatizaciju Ureda i nabavu IT opreme</w:t>
      </w:r>
      <w:r w:rsidRPr="00CA357C">
        <w:rPr>
          <w:rFonts w:cs="Arial"/>
          <w:color w:val="000000"/>
        </w:rPr>
        <w:t xml:space="preserve"> u skladu sa Strateškim planom Ureda za razdoblje 2023. – 2027. (u okviru cilja – </w:t>
      </w:r>
      <w:r w:rsidRPr="00CA357C">
        <w:rPr>
          <w:rFonts w:cs="Arial"/>
          <w:i/>
          <w:color w:val="000000"/>
        </w:rPr>
        <w:t>razvoj kapaciteta</w:t>
      </w:r>
      <w:r w:rsidRPr="00CA357C">
        <w:rPr>
          <w:rFonts w:cs="Arial"/>
          <w:color w:val="000000"/>
        </w:rPr>
        <w:t xml:space="preserve"> kao jedno od značajnijih područja planirana je modernizacija Ureda i nabava potrebne IT opreme). </w:t>
      </w:r>
      <w:r w:rsidRPr="00CA357C">
        <w:rPr>
          <w:rFonts w:cs="Arial"/>
        </w:rPr>
        <w:t xml:space="preserve">Rashodi za Kapitalni projekt K 665001 – Informatizacija </w:t>
      </w:r>
      <w:r>
        <w:rPr>
          <w:rFonts w:cs="Arial"/>
        </w:rPr>
        <w:t>izvršen</w:t>
      </w:r>
      <w:r w:rsidRPr="00CA357C">
        <w:rPr>
          <w:rFonts w:cs="Arial"/>
        </w:rPr>
        <w:t xml:space="preserve">i su u iznosu od </w:t>
      </w:r>
      <w:r w:rsidR="00892206">
        <w:rPr>
          <w:rFonts w:cs="Arial"/>
        </w:rPr>
        <w:t>292.068,94</w:t>
      </w:r>
      <w:r w:rsidR="00D96D65">
        <w:rPr>
          <w:rFonts w:cs="Arial"/>
        </w:rPr>
        <w:t xml:space="preserve"> </w:t>
      </w:r>
      <w:r w:rsidR="00B53E87">
        <w:rPr>
          <w:rFonts w:cs="Arial"/>
        </w:rPr>
        <w:t>eura</w:t>
      </w:r>
      <w:r w:rsidR="00D96D65">
        <w:rPr>
          <w:rFonts w:cs="Arial"/>
        </w:rPr>
        <w:t xml:space="preserve"> </w:t>
      </w:r>
      <w:r w:rsidRPr="00CA357C">
        <w:rPr>
          <w:rFonts w:cs="Arial"/>
        </w:rPr>
        <w:t>koji se financira iz Izvora Opći prihodi i primici (Izvor 11) i odnose se</w:t>
      </w:r>
      <w:r w:rsidR="00892206">
        <w:rPr>
          <w:rFonts w:cs="Arial"/>
        </w:rPr>
        <w:t xml:space="preserve"> na materijalne rashode</w:t>
      </w:r>
      <w:r w:rsidR="000921D5">
        <w:rPr>
          <w:rFonts w:cs="Arial"/>
        </w:rPr>
        <w:t xml:space="preserve"> u iznosu od 290.086,44 </w:t>
      </w:r>
      <w:r w:rsidR="00B53E87">
        <w:rPr>
          <w:rFonts w:cs="Arial"/>
        </w:rPr>
        <w:t>eura</w:t>
      </w:r>
      <w:r w:rsidR="00892206">
        <w:rPr>
          <w:rFonts w:cs="Arial"/>
        </w:rPr>
        <w:t xml:space="preserve">, </w:t>
      </w:r>
      <w:r w:rsidR="00892206" w:rsidRPr="00892206">
        <w:rPr>
          <w:rFonts w:cs="Arial"/>
        </w:rPr>
        <w:t xml:space="preserve">rashode za nabavu </w:t>
      </w:r>
      <w:proofErr w:type="spellStart"/>
      <w:r w:rsidR="000921D5">
        <w:rPr>
          <w:rFonts w:cs="Arial"/>
        </w:rPr>
        <w:t>neproizvedene</w:t>
      </w:r>
      <w:proofErr w:type="spellEnd"/>
      <w:r w:rsidR="000921D5">
        <w:rPr>
          <w:rFonts w:cs="Arial"/>
        </w:rPr>
        <w:t xml:space="preserve"> dugotrajne imovine u iznosu od 550,00 </w:t>
      </w:r>
      <w:r w:rsidR="00B53E87">
        <w:rPr>
          <w:rFonts w:cs="Arial"/>
        </w:rPr>
        <w:t>eura</w:t>
      </w:r>
      <w:r w:rsidR="000921D5">
        <w:rPr>
          <w:rFonts w:cs="Arial"/>
        </w:rPr>
        <w:t xml:space="preserve"> i </w:t>
      </w:r>
      <w:r w:rsidRPr="00CA357C">
        <w:rPr>
          <w:rFonts w:cs="Arial"/>
        </w:rPr>
        <w:t>rashode za nabavu</w:t>
      </w:r>
      <w:r w:rsidR="000921D5">
        <w:rPr>
          <w:rFonts w:cs="Arial"/>
        </w:rPr>
        <w:t xml:space="preserve"> proizvedene dugotrajne imovine u iznosu od 1.432,50 </w:t>
      </w:r>
      <w:r w:rsidR="00B53E87">
        <w:rPr>
          <w:rFonts w:cs="Arial"/>
        </w:rPr>
        <w:t>eura</w:t>
      </w:r>
      <w:r w:rsidR="000921D5">
        <w:rPr>
          <w:rFonts w:cs="Arial"/>
        </w:rPr>
        <w:t>.</w:t>
      </w:r>
    </w:p>
    <w:p w14:paraId="64BD51B6" w14:textId="77777777" w:rsidR="004E0224" w:rsidRPr="00CA357C" w:rsidRDefault="004E0224" w:rsidP="004E0224">
      <w:pPr>
        <w:rPr>
          <w:rFonts w:cs="Arial"/>
        </w:rPr>
      </w:pPr>
    </w:p>
    <w:p w14:paraId="4DF491E7" w14:textId="0881F02A" w:rsidR="004E0224" w:rsidRPr="00CA357C" w:rsidRDefault="004E0224" w:rsidP="004E0224">
      <w:pPr>
        <w:ind w:firstLine="567"/>
        <w:rPr>
          <w:rFonts w:cs="Arial"/>
        </w:rPr>
      </w:pPr>
      <w:r w:rsidRPr="007258B9">
        <w:rPr>
          <w:rFonts w:cs="Arial"/>
          <w:b/>
        </w:rPr>
        <w:t>Materijalni rashodi</w:t>
      </w:r>
      <w:r w:rsidRPr="007258B9">
        <w:rPr>
          <w:rFonts w:cs="Arial"/>
          <w:i/>
        </w:rPr>
        <w:t xml:space="preserve"> </w:t>
      </w:r>
      <w:r w:rsidRPr="007258B9">
        <w:rPr>
          <w:rFonts w:cs="Arial"/>
        </w:rPr>
        <w:t xml:space="preserve">izvršeni su u iznosu od </w:t>
      </w:r>
      <w:r w:rsidR="00A226AA" w:rsidRPr="007258B9">
        <w:rPr>
          <w:rFonts w:cs="Arial"/>
        </w:rPr>
        <w:t>290.086,44</w:t>
      </w:r>
      <w:r w:rsidRPr="007258B9">
        <w:rPr>
          <w:rFonts w:cs="Arial"/>
        </w:rPr>
        <w:t xml:space="preserve"> </w:t>
      </w:r>
      <w:r w:rsidR="00B53E87">
        <w:rPr>
          <w:rFonts w:cs="Arial"/>
        </w:rPr>
        <w:t>eura</w:t>
      </w:r>
      <w:r w:rsidRPr="007258B9">
        <w:rPr>
          <w:rFonts w:cs="Arial"/>
        </w:rPr>
        <w:t xml:space="preserve"> ili </w:t>
      </w:r>
      <w:r w:rsidR="00A226AA" w:rsidRPr="007258B9">
        <w:rPr>
          <w:rFonts w:cs="Arial"/>
        </w:rPr>
        <w:t>93,69</w:t>
      </w:r>
      <w:r w:rsidRPr="007258B9">
        <w:rPr>
          <w:rFonts w:cs="Arial"/>
        </w:rPr>
        <w:t xml:space="preserve"> % u odnosu na tekući plan za 2023. Navedeni rashodi odnose se na rashode za usluge, a najznačajniji se odnosi na računalne usluge u iznosu od </w:t>
      </w:r>
      <w:r w:rsidR="00A226AA" w:rsidRPr="007258B9">
        <w:rPr>
          <w:rFonts w:cs="Arial"/>
        </w:rPr>
        <w:t>223.698,57</w:t>
      </w:r>
      <w:r w:rsidRPr="007258B9">
        <w:rPr>
          <w:rFonts w:cs="Arial"/>
        </w:rPr>
        <w:t xml:space="preserve"> </w:t>
      </w:r>
      <w:r w:rsidR="00B53E87">
        <w:rPr>
          <w:rFonts w:cs="Arial"/>
        </w:rPr>
        <w:t>eura</w:t>
      </w:r>
      <w:r w:rsidRPr="007258B9">
        <w:rPr>
          <w:rFonts w:cs="Arial"/>
        </w:rPr>
        <w:t xml:space="preserve"> za </w:t>
      </w:r>
      <w:r w:rsidR="008841EB" w:rsidRPr="007258B9">
        <w:rPr>
          <w:rFonts w:cs="Arial"/>
        </w:rPr>
        <w:t>troškove</w:t>
      </w:r>
      <w:r w:rsidRPr="007258B9">
        <w:rPr>
          <w:rFonts w:cs="Arial"/>
        </w:rPr>
        <w:t xml:space="preserve"> udomljavanja i održavanja IT resursa te programskih aplikacija na državnoj infrastrukturi</w:t>
      </w:r>
      <w:r w:rsidR="006A4D7D" w:rsidRPr="007258B9">
        <w:rPr>
          <w:rFonts w:cs="Arial"/>
        </w:rPr>
        <w:t xml:space="preserve"> u</w:t>
      </w:r>
      <w:r w:rsidRPr="007258B9">
        <w:rPr>
          <w:rFonts w:cs="Arial"/>
        </w:rPr>
        <w:t xml:space="preserve"> Financijskoj age</w:t>
      </w:r>
      <w:r w:rsidR="00A226AA" w:rsidRPr="007258B9">
        <w:rPr>
          <w:rFonts w:cs="Arial"/>
        </w:rPr>
        <w:t>nciji i nadogradnje I</w:t>
      </w:r>
      <w:r w:rsidR="002B275E" w:rsidRPr="007258B9">
        <w:rPr>
          <w:rFonts w:cs="Arial"/>
        </w:rPr>
        <w:t xml:space="preserve">ntranet stranice. Nadalje, rashodi za zakupnine i najamnine u iznosu od 64.556,56 </w:t>
      </w:r>
      <w:r w:rsidR="00B53E87">
        <w:rPr>
          <w:rFonts w:cs="Arial"/>
        </w:rPr>
        <w:t>eura</w:t>
      </w:r>
      <w:r w:rsidR="002B275E" w:rsidRPr="007258B9">
        <w:rPr>
          <w:rFonts w:cs="Arial"/>
        </w:rPr>
        <w:t xml:space="preserve"> odnose se na nabavu Microsoft licenci, Office 365 za tablete, </w:t>
      </w:r>
      <w:proofErr w:type="spellStart"/>
      <w:r w:rsidR="002B275E" w:rsidRPr="007258B9">
        <w:rPr>
          <w:rFonts w:cs="Arial"/>
        </w:rPr>
        <w:t>Anydesk</w:t>
      </w:r>
      <w:proofErr w:type="spellEnd"/>
      <w:r w:rsidR="002B275E" w:rsidRPr="007258B9">
        <w:rPr>
          <w:rFonts w:cs="Arial"/>
        </w:rPr>
        <w:t>, IDEA licence i najam printera.</w:t>
      </w:r>
      <w:r w:rsidR="0008291B">
        <w:rPr>
          <w:rFonts w:cs="Arial"/>
        </w:rPr>
        <w:t xml:space="preserve"> </w:t>
      </w:r>
    </w:p>
    <w:p w14:paraId="3A8E1C24" w14:textId="78A85C32" w:rsidR="004E0224" w:rsidRDefault="004E0224" w:rsidP="004E0224">
      <w:pPr>
        <w:rPr>
          <w:rFonts w:cs="Arial"/>
        </w:rPr>
      </w:pPr>
    </w:p>
    <w:p w14:paraId="746B96CB" w14:textId="4E1E1629" w:rsidR="002B275E" w:rsidRDefault="002B275E" w:rsidP="002B275E">
      <w:pPr>
        <w:ind w:firstLine="567"/>
        <w:rPr>
          <w:rFonts w:cs="Arial"/>
        </w:rPr>
      </w:pPr>
      <w:r>
        <w:rPr>
          <w:rFonts w:cs="Arial"/>
          <w:b/>
        </w:rPr>
        <w:t xml:space="preserve">Rashodi </w:t>
      </w:r>
      <w:r w:rsidRPr="002B275E">
        <w:rPr>
          <w:rFonts w:cs="Arial"/>
          <w:b/>
        </w:rPr>
        <w:t xml:space="preserve">za nabavu </w:t>
      </w:r>
      <w:proofErr w:type="spellStart"/>
      <w:r w:rsidRPr="002B275E">
        <w:rPr>
          <w:rFonts w:cs="Arial"/>
          <w:b/>
        </w:rPr>
        <w:t>neproizvedene</w:t>
      </w:r>
      <w:proofErr w:type="spellEnd"/>
      <w:r w:rsidRPr="002B275E">
        <w:rPr>
          <w:rFonts w:cs="Arial"/>
          <w:b/>
        </w:rPr>
        <w:t xml:space="preserve"> dugotrajne imovine</w:t>
      </w:r>
      <w:r w:rsidRPr="002B275E">
        <w:rPr>
          <w:rFonts w:cs="Arial"/>
        </w:rPr>
        <w:t xml:space="preserve"> </w:t>
      </w:r>
      <w:r>
        <w:rPr>
          <w:rFonts w:cs="Arial"/>
        </w:rPr>
        <w:t xml:space="preserve">izvršeni su </w:t>
      </w:r>
      <w:r w:rsidRPr="002B275E">
        <w:rPr>
          <w:rFonts w:cs="Arial"/>
        </w:rPr>
        <w:t xml:space="preserve">u iznosu od 550,00 </w:t>
      </w:r>
      <w:r w:rsidR="00B53E87">
        <w:rPr>
          <w:rFonts w:cs="Arial"/>
        </w:rPr>
        <w:t>eura</w:t>
      </w:r>
      <w:r>
        <w:rPr>
          <w:rFonts w:cs="Arial"/>
        </w:rPr>
        <w:t xml:space="preserve"> ili 100,00 % u odnosu na tekući plan za 2023., a odnose se na nabavu </w:t>
      </w:r>
      <w:proofErr w:type="spellStart"/>
      <w:r w:rsidRPr="002B275E">
        <w:rPr>
          <w:rFonts w:cs="Arial"/>
          <w:i/>
        </w:rPr>
        <w:t>wildcard</w:t>
      </w:r>
      <w:proofErr w:type="spellEnd"/>
      <w:r w:rsidRPr="002B275E">
        <w:rPr>
          <w:rFonts w:cs="Arial"/>
        </w:rPr>
        <w:t xml:space="preserve"> ce</w:t>
      </w:r>
      <w:r>
        <w:rPr>
          <w:rFonts w:cs="Arial"/>
        </w:rPr>
        <w:t xml:space="preserve">rtifikata za domenu revizija.hr. </w:t>
      </w:r>
    </w:p>
    <w:p w14:paraId="3CB42127" w14:textId="09F29856" w:rsidR="002B275E" w:rsidRPr="002B275E" w:rsidRDefault="002B275E" w:rsidP="00EA757F">
      <w:pPr>
        <w:rPr>
          <w:rFonts w:cs="Arial"/>
        </w:rPr>
      </w:pPr>
    </w:p>
    <w:p w14:paraId="076F9797" w14:textId="0F992C19" w:rsidR="00DD0AD0" w:rsidRDefault="002B275E" w:rsidP="00A350A2">
      <w:pPr>
        <w:ind w:firstLine="567"/>
        <w:rPr>
          <w:rFonts w:cs="Arial"/>
        </w:rPr>
      </w:pPr>
      <w:r w:rsidRPr="002B275E">
        <w:rPr>
          <w:rFonts w:cs="Arial"/>
          <w:b/>
        </w:rPr>
        <w:t>Rashodi za nabavu proizvedene dugotrajne imovine</w:t>
      </w:r>
      <w:r w:rsidRPr="002B275E">
        <w:rPr>
          <w:rFonts w:cs="Arial"/>
        </w:rPr>
        <w:t xml:space="preserve"> </w:t>
      </w:r>
      <w:r>
        <w:rPr>
          <w:rFonts w:cs="Arial"/>
        </w:rPr>
        <w:t xml:space="preserve">izvršeni su </w:t>
      </w:r>
      <w:r w:rsidRPr="002B275E">
        <w:rPr>
          <w:rFonts w:cs="Arial"/>
        </w:rPr>
        <w:t xml:space="preserve">u iznosu od 1.432,50 </w:t>
      </w:r>
      <w:r w:rsidR="00B53E87">
        <w:rPr>
          <w:rFonts w:cs="Arial"/>
        </w:rPr>
        <w:t>eura</w:t>
      </w:r>
      <w:r>
        <w:rPr>
          <w:rFonts w:cs="Arial"/>
        </w:rPr>
        <w:t xml:space="preserve"> ili 52,72 % u odnosu n</w:t>
      </w:r>
      <w:r w:rsidR="00A1593C">
        <w:rPr>
          <w:rFonts w:cs="Arial"/>
        </w:rPr>
        <w:t>a tekući plan za 2023., a odnose</w:t>
      </w:r>
      <w:r>
        <w:rPr>
          <w:rFonts w:cs="Arial"/>
        </w:rPr>
        <w:t xml:space="preserve"> se na nabavu </w:t>
      </w:r>
      <w:proofErr w:type="spellStart"/>
      <w:r>
        <w:rPr>
          <w:rFonts w:cs="Arial"/>
        </w:rPr>
        <w:t>mikrotik</w:t>
      </w:r>
      <w:proofErr w:type="spellEnd"/>
      <w:r>
        <w:rPr>
          <w:rFonts w:cs="Arial"/>
        </w:rPr>
        <w:t xml:space="preserve"> </w:t>
      </w:r>
      <w:proofErr w:type="spellStart"/>
      <w:r>
        <w:rPr>
          <w:rFonts w:cs="Arial"/>
        </w:rPr>
        <w:t>routera</w:t>
      </w:r>
      <w:proofErr w:type="spellEnd"/>
      <w:r>
        <w:rPr>
          <w:rFonts w:cs="Arial"/>
        </w:rPr>
        <w:t xml:space="preserve"> i printera. </w:t>
      </w:r>
    </w:p>
    <w:p w14:paraId="04A1F1AA" w14:textId="77777777" w:rsidR="00A350A2" w:rsidRDefault="00A350A2" w:rsidP="00A350A2">
      <w:pPr>
        <w:ind w:firstLine="567"/>
        <w:rPr>
          <w:rFonts w:cs="Arial"/>
        </w:rPr>
      </w:pPr>
    </w:p>
    <w:p w14:paraId="73C02450" w14:textId="77777777" w:rsidR="00EE1B64" w:rsidRPr="00CA357C" w:rsidRDefault="00EE1B64" w:rsidP="00DD0AD0">
      <w:pPr>
        <w:rPr>
          <w:rFonts w:cs="Arial"/>
        </w:rPr>
      </w:pPr>
    </w:p>
    <w:p w14:paraId="6DAF11C4" w14:textId="77777777" w:rsidR="004E0224" w:rsidRPr="00CA357C" w:rsidRDefault="004E0224" w:rsidP="004E0224">
      <w:pPr>
        <w:pStyle w:val="Naslov3"/>
        <w:rPr>
          <w:rFonts w:ascii="Arial" w:hAnsi="Arial" w:cs="Arial"/>
          <w:b/>
          <w:bCs/>
          <w:i/>
          <w:iCs/>
          <w:color w:val="auto"/>
        </w:rPr>
      </w:pPr>
      <w:bookmarkStart w:id="7" w:name="_Toc162444743"/>
      <w:r>
        <w:rPr>
          <w:rFonts w:ascii="Arial" w:hAnsi="Arial" w:cs="Arial"/>
          <w:b/>
          <w:bCs/>
          <w:i/>
          <w:iCs/>
          <w:color w:val="auto"/>
        </w:rPr>
        <w:t>2.2</w:t>
      </w:r>
      <w:r w:rsidRPr="00CA357C">
        <w:rPr>
          <w:rFonts w:ascii="Arial" w:hAnsi="Arial" w:cs="Arial"/>
          <w:b/>
          <w:bCs/>
          <w:i/>
          <w:iCs/>
          <w:color w:val="auto"/>
        </w:rPr>
        <w:t>.3. Kapitalni projekt K 665002 – Obnova voznog parka</w:t>
      </w:r>
      <w:bookmarkEnd w:id="7"/>
    </w:p>
    <w:p w14:paraId="70497C38" w14:textId="77777777" w:rsidR="004E0224" w:rsidRPr="00CA357C" w:rsidRDefault="004E0224" w:rsidP="004E0224">
      <w:pPr>
        <w:ind w:firstLine="567"/>
        <w:rPr>
          <w:rFonts w:cs="Arial"/>
          <w:color w:val="FF0000"/>
        </w:rPr>
      </w:pPr>
    </w:p>
    <w:p w14:paraId="4E2F5F76" w14:textId="7F20D929" w:rsidR="004E0224" w:rsidRPr="00CA357C" w:rsidRDefault="004E0224" w:rsidP="004E0224">
      <w:pPr>
        <w:tabs>
          <w:tab w:val="left" w:pos="113"/>
        </w:tabs>
        <w:rPr>
          <w:rFonts w:cs="Arial"/>
        </w:rPr>
      </w:pPr>
      <w:r w:rsidRPr="00CA357C">
        <w:rPr>
          <w:rFonts w:cs="Arial"/>
        </w:rPr>
        <w:tab/>
      </w:r>
      <w:r w:rsidRPr="00CA357C">
        <w:rPr>
          <w:rFonts w:cs="Arial"/>
          <w:color w:val="000000"/>
        </w:rPr>
        <w:t xml:space="preserve"> </w:t>
      </w:r>
      <w:r w:rsidRPr="00CA357C">
        <w:rPr>
          <w:rFonts w:cs="Arial"/>
          <w:color w:val="000000"/>
        </w:rPr>
        <w:tab/>
        <w:t>Rashodi za kapitalni projekt</w:t>
      </w:r>
      <w:r w:rsidRPr="00CA357C">
        <w:rPr>
          <w:rFonts w:cs="Arial"/>
        </w:rPr>
        <w:t xml:space="preserve"> K 665002 – Obnova voznog parka </w:t>
      </w:r>
      <w:r>
        <w:rPr>
          <w:rFonts w:cs="Arial"/>
        </w:rPr>
        <w:t>izvršen</w:t>
      </w:r>
      <w:r w:rsidRPr="00CA357C">
        <w:rPr>
          <w:rFonts w:cs="Arial"/>
        </w:rPr>
        <w:t xml:space="preserve">i su u iznosu od </w:t>
      </w:r>
      <w:r w:rsidR="0008291B">
        <w:rPr>
          <w:rFonts w:cs="Arial"/>
        </w:rPr>
        <w:t>162.176,50</w:t>
      </w:r>
      <w:r w:rsidRPr="00CA357C">
        <w:rPr>
          <w:rFonts w:cs="Arial"/>
        </w:rPr>
        <w:t xml:space="preserve"> </w:t>
      </w:r>
      <w:r w:rsidR="00B53E87">
        <w:rPr>
          <w:rFonts w:cs="Arial"/>
        </w:rPr>
        <w:t>eura</w:t>
      </w:r>
      <w:r w:rsidRPr="00CA357C">
        <w:rPr>
          <w:rFonts w:cs="Arial"/>
        </w:rPr>
        <w:t xml:space="preserve"> koji se financira</w:t>
      </w:r>
      <w:r w:rsidR="00100A3B">
        <w:rPr>
          <w:rFonts w:cs="Arial"/>
        </w:rPr>
        <w:t>ju</w:t>
      </w:r>
      <w:r w:rsidRPr="00CA357C">
        <w:rPr>
          <w:rFonts w:cs="Arial"/>
        </w:rPr>
        <w:t xml:space="preserve"> iz Izvora Opći prihodi i primici (Izvor 11) i odnose se na</w:t>
      </w:r>
      <w:r w:rsidRPr="00CA357C">
        <w:rPr>
          <w:rFonts w:cs="Arial"/>
          <w:color w:val="000000"/>
        </w:rPr>
        <w:t xml:space="preserve"> materijalne rashode u iznosu od </w:t>
      </w:r>
      <w:r w:rsidR="0008291B">
        <w:rPr>
          <w:rFonts w:cs="Arial"/>
          <w:color w:val="000000"/>
        </w:rPr>
        <w:t>47.026,35</w:t>
      </w:r>
      <w:r w:rsidRPr="00CA357C">
        <w:rPr>
          <w:rFonts w:cs="Arial"/>
          <w:color w:val="000000"/>
        </w:rPr>
        <w:t xml:space="preserve"> </w:t>
      </w:r>
      <w:r w:rsidR="00B53E87">
        <w:rPr>
          <w:rFonts w:cs="Arial"/>
          <w:color w:val="000000"/>
        </w:rPr>
        <w:t>eura</w:t>
      </w:r>
      <w:r w:rsidRPr="00CA357C">
        <w:rPr>
          <w:rFonts w:cs="Arial"/>
        </w:rPr>
        <w:t xml:space="preserve">, </w:t>
      </w:r>
      <w:r w:rsidRPr="00CA357C">
        <w:rPr>
          <w:rFonts w:cs="Arial"/>
          <w:color w:val="000000"/>
        </w:rPr>
        <w:t xml:space="preserve">financijske rashode u iznosu od </w:t>
      </w:r>
      <w:r w:rsidR="0008291B">
        <w:rPr>
          <w:rFonts w:cs="Arial"/>
          <w:color w:val="000000"/>
        </w:rPr>
        <w:t>10.820,16</w:t>
      </w:r>
      <w:r w:rsidRPr="00CA357C">
        <w:rPr>
          <w:rFonts w:cs="Arial"/>
          <w:color w:val="000000"/>
        </w:rPr>
        <w:t xml:space="preserve"> </w:t>
      </w:r>
      <w:r w:rsidR="00B53E87">
        <w:rPr>
          <w:rFonts w:cs="Arial"/>
          <w:color w:val="000000"/>
        </w:rPr>
        <w:t>eura</w:t>
      </w:r>
      <w:r w:rsidRPr="00CA357C">
        <w:rPr>
          <w:rFonts w:cs="Arial"/>
          <w:color w:val="000000"/>
        </w:rPr>
        <w:t xml:space="preserve"> i rashode za nabavu proizvedene dugotrajne imovine u iznosu od </w:t>
      </w:r>
      <w:r w:rsidR="0008291B">
        <w:rPr>
          <w:rFonts w:cs="Arial"/>
          <w:color w:val="000000"/>
        </w:rPr>
        <w:t>104.329,99</w:t>
      </w:r>
      <w:r w:rsidRPr="00CA357C">
        <w:rPr>
          <w:rFonts w:cs="Arial"/>
          <w:color w:val="000000"/>
        </w:rPr>
        <w:t xml:space="preserve"> </w:t>
      </w:r>
      <w:r w:rsidR="00B53E87">
        <w:rPr>
          <w:rFonts w:cs="Arial"/>
          <w:color w:val="000000"/>
        </w:rPr>
        <w:t>eura</w:t>
      </w:r>
      <w:r w:rsidRPr="00CA357C">
        <w:rPr>
          <w:rFonts w:cs="Arial"/>
          <w:color w:val="000000"/>
        </w:rPr>
        <w:t>.</w:t>
      </w:r>
    </w:p>
    <w:p w14:paraId="3CEBD798" w14:textId="6A2235E5" w:rsidR="004E0224" w:rsidRPr="00CA357C" w:rsidRDefault="004E0224" w:rsidP="004E0224">
      <w:pPr>
        <w:ind w:firstLine="567"/>
        <w:rPr>
          <w:rFonts w:cs="Arial"/>
        </w:rPr>
      </w:pPr>
      <w:r w:rsidRPr="00CA357C">
        <w:rPr>
          <w:rFonts w:cs="Arial"/>
          <w:b/>
        </w:rPr>
        <w:t>Materijalni rashodi</w:t>
      </w:r>
      <w:r w:rsidRPr="00CA357C">
        <w:rPr>
          <w:rFonts w:cs="Arial"/>
        </w:rPr>
        <w:t xml:space="preserve"> </w:t>
      </w:r>
      <w:r>
        <w:rPr>
          <w:rFonts w:cs="Arial"/>
        </w:rPr>
        <w:t>izvršen</w:t>
      </w:r>
      <w:r w:rsidRPr="00CA357C">
        <w:rPr>
          <w:rFonts w:cs="Arial"/>
        </w:rPr>
        <w:t xml:space="preserve">i su u iznosu od </w:t>
      </w:r>
      <w:r w:rsidR="00B70CE4">
        <w:rPr>
          <w:rFonts w:cs="Arial"/>
        </w:rPr>
        <w:t>47</w:t>
      </w:r>
      <w:r w:rsidR="0008291B">
        <w:rPr>
          <w:rFonts w:cs="Arial"/>
        </w:rPr>
        <w:t>.026,35</w:t>
      </w:r>
      <w:r w:rsidRPr="00CA357C">
        <w:rPr>
          <w:rFonts w:cs="Arial"/>
        </w:rPr>
        <w:t xml:space="preserve"> </w:t>
      </w:r>
      <w:r w:rsidR="00B53E87">
        <w:rPr>
          <w:rFonts w:cs="Arial"/>
        </w:rPr>
        <w:t>eura</w:t>
      </w:r>
      <w:r w:rsidRPr="00CA357C">
        <w:rPr>
          <w:rFonts w:cs="Arial"/>
        </w:rPr>
        <w:t xml:space="preserve"> ili </w:t>
      </w:r>
      <w:r w:rsidR="0008291B">
        <w:rPr>
          <w:rFonts w:cs="Arial"/>
        </w:rPr>
        <w:t>88,24</w:t>
      </w:r>
      <w:r w:rsidRPr="00CA357C">
        <w:rPr>
          <w:rFonts w:cs="Arial"/>
        </w:rPr>
        <w:t xml:space="preserve"> % u odnosu na tekući plan za 2023</w:t>
      </w:r>
      <w:r>
        <w:rPr>
          <w:rFonts w:cs="Arial"/>
        </w:rPr>
        <w:t>.</w:t>
      </w:r>
      <w:r w:rsidRPr="00CA357C">
        <w:rPr>
          <w:rFonts w:cs="Arial"/>
        </w:rPr>
        <w:t xml:space="preserve"> </w:t>
      </w:r>
      <w:r>
        <w:rPr>
          <w:rFonts w:cs="Arial"/>
        </w:rPr>
        <w:t>O</w:t>
      </w:r>
      <w:r w:rsidRPr="00CA357C">
        <w:rPr>
          <w:rFonts w:cs="Arial"/>
        </w:rPr>
        <w:t xml:space="preserve">dnose se na rashode za materijal i energiju u iznosu od </w:t>
      </w:r>
      <w:r w:rsidR="004D387B">
        <w:rPr>
          <w:rFonts w:cs="Arial"/>
        </w:rPr>
        <w:t>24.584,48</w:t>
      </w:r>
      <w:r>
        <w:rPr>
          <w:rFonts w:cs="Arial"/>
        </w:rPr>
        <w:t xml:space="preserve"> </w:t>
      </w:r>
      <w:r w:rsidR="00B53E87">
        <w:rPr>
          <w:rFonts w:cs="Arial"/>
        </w:rPr>
        <w:t>eura</w:t>
      </w:r>
      <w:r w:rsidRPr="00CA357C">
        <w:rPr>
          <w:rFonts w:cs="Arial"/>
        </w:rPr>
        <w:t xml:space="preserve">, rashode za usluge u iznosu od </w:t>
      </w:r>
      <w:r w:rsidR="004D387B">
        <w:rPr>
          <w:rFonts w:cs="Arial"/>
        </w:rPr>
        <w:t>13.412,15</w:t>
      </w:r>
      <w:r w:rsidRPr="00CA357C">
        <w:rPr>
          <w:rFonts w:cs="Arial"/>
        </w:rPr>
        <w:t xml:space="preserve"> </w:t>
      </w:r>
      <w:r w:rsidR="00B53E87">
        <w:rPr>
          <w:rFonts w:cs="Arial"/>
        </w:rPr>
        <w:t>eura</w:t>
      </w:r>
      <w:r w:rsidRPr="00CA357C">
        <w:rPr>
          <w:rFonts w:cs="Arial"/>
        </w:rPr>
        <w:t xml:space="preserve"> i ostale nespomenute rashode poslovanja </w:t>
      </w:r>
      <w:r w:rsidR="0008291B">
        <w:rPr>
          <w:rFonts w:cs="Arial"/>
        </w:rPr>
        <w:t>u iznosu od 9.029,72</w:t>
      </w:r>
      <w:r w:rsidRPr="00CA357C">
        <w:rPr>
          <w:rFonts w:cs="Arial"/>
        </w:rPr>
        <w:t xml:space="preserve"> </w:t>
      </w:r>
      <w:r w:rsidR="00B53E87">
        <w:rPr>
          <w:rFonts w:cs="Arial"/>
        </w:rPr>
        <w:t>eura.</w:t>
      </w:r>
    </w:p>
    <w:p w14:paraId="3EBAC9FF" w14:textId="6C797988" w:rsidR="004E0224" w:rsidRPr="00CA357C" w:rsidRDefault="005504EB" w:rsidP="004E0224">
      <w:pPr>
        <w:ind w:firstLine="567"/>
        <w:rPr>
          <w:rFonts w:cs="Arial"/>
        </w:rPr>
      </w:pPr>
      <w:r>
        <w:rPr>
          <w:rFonts w:cs="Arial"/>
        </w:rPr>
        <w:t xml:space="preserve">Vrijednosno </w:t>
      </w:r>
      <w:r w:rsidR="004E0224" w:rsidRPr="00CA357C">
        <w:rPr>
          <w:rFonts w:cs="Arial"/>
        </w:rPr>
        <w:t>značajnij</w:t>
      </w:r>
      <w:r w:rsidR="00100A3B">
        <w:rPr>
          <w:rFonts w:cs="Arial"/>
        </w:rPr>
        <w:t xml:space="preserve">i rashodi za materijal i energiju </w:t>
      </w:r>
      <w:r w:rsidR="004E0224">
        <w:rPr>
          <w:rFonts w:cs="Arial"/>
        </w:rPr>
        <w:t>odnos</w:t>
      </w:r>
      <w:r w:rsidR="00100A3B">
        <w:rPr>
          <w:rFonts w:cs="Arial"/>
        </w:rPr>
        <w:t>e se</w:t>
      </w:r>
      <w:r w:rsidR="004E0224">
        <w:rPr>
          <w:rFonts w:cs="Arial"/>
        </w:rPr>
        <w:t xml:space="preserve"> na rashode za energiju u iznosu od </w:t>
      </w:r>
      <w:r w:rsidR="0008291B">
        <w:rPr>
          <w:rFonts w:cs="Arial"/>
        </w:rPr>
        <w:t>21.086,28</w:t>
      </w:r>
      <w:r w:rsidR="004E0224" w:rsidRPr="00CA357C">
        <w:rPr>
          <w:rFonts w:cs="Arial"/>
        </w:rPr>
        <w:t xml:space="preserve"> </w:t>
      </w:r>
      <w:r w:rsidR="00B53E87">
        <w:rPr>
          <w:rFonts w:cs="Arial"/>
        </w:rPr>
        <w:t>eura</w:t>
      </w:r>
      <w:r w:rsidR="004E0224" w:rsidRPr="00CA357C">
        <w:rPr>
          <w:rFonts w:cs="Arial"/>
        </w:rPr>
        <w:t xml:space="preserve"> (motorni benzin i dizel</w:t>
      </w:r>
      <w:r w:rsidR="004D387B">
        <w:rPr>
          <w:rFonts w:cs="Arial"/>
        </w:rPr>
        <w:t>sko gorivo</w:t>
      </w:r>
      <w:r w:rsidR="004E0224" w:rsidRPr="00CA357C">
        <w:rPr>
          <w:rFonts w:cs="Arial"/>
        </w:rPr>
        <w:t xml:space="preserve">). </w:t>
      </w:r>
      <w:r w:rsidR="00100A3B">
        <w:rPr>
          <w:rFonts w:cs="Arial"/>
        </w:rPr>
        <w:t>R</w:t>
      </w:r>
      <w:r>
        <w:rPr>
          <w:rFonts w:cs="Arial"/>
        </w:rPr>
        <w:t xml:space="preserve">ashodi za usluge u iznosu od 13.412,15 </w:t>
      </w:r>
      <w:r w:rsidR="00B53E87">
        <w:rPr>
          <w:rFonts w:cs="Arial"/>
        </w:rPr>
        <w:t>eura</w:t>
      </w:r>
      <w:r>
        <w:rPr>
          <w:rFonts w:cs="Arial"/>
        </w:rPr>
        <w:t xml:space="preserve"> odnos</w:t>
      </w:r>
      <w:r w:rsidR="00100A3B">
        <w:rPr>
          <w:rFonts w:cs="Arial"/>
        </w:rPr>
        <w:t>e</w:t>
      </w:r>
      <w:r>
        <w:rPr>
          <w:rFonts w:cs="Arial"/>
        </w:rPr>
        <w:t xml:space="preserve"> se na redovno </w:t>
      </w:r>
      <w:r w:rsidR="00B70CE4">
        <w:rPr>
          <w:rFonts w:cs="Arial"/>
        </w:rPr>
        <w:t>održavanje službenih automobila i</w:t>
      </w:r>
      <w:r>
        <w:rPr>
          <w:rFonts w:cs="Arial"/>
        </w:rPr>
        <w:t xml:space="preserve"> tehnički pregled prilikom </w:t>
      </w:r>
      <w:r w:rsidR="00100A3B">
        <w:rPr>
          <w:rFonts w:cs="Arial"/>
        </w:rPr>
        <w:t xml:space="preserve">njihove </w:t>
      </w:r>
      <w:r>
        <w:rPr>
          <w:rFonts w:cs="Arial"/>
        </w:rPr>
        <w:t xml:space="preserve">registracije. </w:t>
      </w:r>
    </w:p>
    <w:p w14:paraId="1EE40512" w14:textId="12D5AD8E" w:rsidR="004E0224" w:rsidRDefault="004E0224" w:rsidP="004E0224">
      <w:pPr>
        <w:rPr>
          <w:rFonts w:cs="Arial"/>
        </w:rPr>
      </w:pPr>
    </w:p>
    <w:p w14:paraId="2A6FCFB8" w14:textId="77777777" w:rsidR="0064014B" w:rsidRPr="00CA357C" w:rsidRDefault="0064014B" w:rsidP="004E0224">
      <w:pPr>
        <w:rPr>
          <w:rFonts w:cs="Arial"/>
        </w:rPr>
      </w:pPr>
    </w:p>
    <w:p w14:paraId="2CA33751" w14:textId="27F3035E" w:rsidR="004E0224" w:rsidRPr="00CA357C" w:rsidRDefault="004E0224" w:rsidP="004E0224">
      <w:pPr>
        <w:ind w:firstLine="567"/>
        <w:rPr>
          <w:rFonts w:cs="Arial"/>
          <w:color w:val="000000"/>
        </w:rPr>
      </w:pPr>
      <w:r w:rsidRPr="00CA357C">
        <w:rPr>
          <w:rFonts w:cs="Arial"/>
          <w:b/>
          <w:color w:val="000000"/>
        </w:rPr>
        <w:lastRenderedPageBreak/>
        <w:t>Financijski rashodi</w:t>
      </w:r>
      <w:r w:rsidRPr="00CA357C">
        <w:rPr>
          <w:rFonts w:cs="Arial"/>
          <w:i/>
          <w:color w:val="000000"/>
        </w:rPr>
        <w:t xml:space="preserve"> </w:t>
      </w:r>
      <w:r>
        <w:rPr>
          <w:rFonts w:cs="Arial"/>
          <w:color w:val="000000"/>
        </w:rPr>
        <w:t xml:space="preserve">izvršeni su u iznosu </w:t>
      </w:r>
      <w:r w:rsidR="00DA505B">
        <w:rPr>
          <w:rFonts w:cs="Arial"/>
          <w:color w:val="000000"/>
        </w:rPr>
        <w:t xml:space="preserve">od </w:t>
      </w:r>
      <w:r w:rsidR="00B03F1B">
        <w:rPr>
          <w:rFonts w:cs="Arial"/>
          <w:color w:val="000000"/>
        </w:rPr>
        <w:t>10.820,16</w:t>
      </w:r>
      <w:r w:rsidRPr="00CA357C">
        <w:rPr>
          <w:rFonts w:cs="Arial"/>
          <w:color w:val="000000"/>
        </w:rPr>
        <w:t xml:space="preserve"> </w:t>
      </w:r>
      <w:r w:rsidR="00872506">
        <w:rPr>
          <w:rFonts w:cs="Arial"/>
          <w:color w:val="000000"/>
        </w:rPr>
        <w:t>eura</w:t>
      </w:r>
      <w:r w:rsidRPr="00CA357C">
        <w:rPr>
          <w:rFonts w:cs="Arial"/>
          <w:color w:val="000000"/>
        </w:rPr>
        <w:t xml:space="preserve"> ili </w:t>
      </w:r>
      <w:r w:rsidR="00B03F1B">
        <w:rPr>
          <w:rFonts w:cs="Arial"/>
          <w:color w:val="000000"/>
        </w:rPr>
        <w:t>75,08</w:t>
      </w:r>
      <w:r w:rsidRPr="00CA357C">
        <w:rPr>
          <w:rFonts w:cs="Arial"/>
          <w:color w:val="000000"/>
        </w:rPr>
        <w:t xml:space="preserve"> % u odnosu na tekući pl</w:t>
      </w:r>
      <w:r>
        <w:rPr>
          <w:rFonts w:cs="Arial"/>
          <w:color w:val="000000"/>
        </w:rPr>
        <w:t>an za 2023.</w:t>
      </w:r>
      <w:r w:rsidRPr="00CA357C">
        <w:rPr>
          <w:rFonts w:cs="Arial"/>
          <w:color w:val="000000"/>
        </w:rPr>
        <w:t>, a odnose se</w:t>
      </w:r>
      <w:r w:rsidRPr="00CA357C">
        <w:rPr>
          <w:rFonts w:cs="Arial"/>
          <w:i/>
          <w:color w:val="000000"/>
        </w:rPr>
        <w:t xml:space="preserve"> </w:t>
      </w:r>
      <w:r w:rsidRPr="00CA357C">
        <w:rPr>
          <w:rFonts w:cs="Arial"/>
          <w:color w:val="000000"/>
        </w:rPr>
        <w:t>na</w:t>
      </w:r>
      <w:r w:rsidRPr="00CA357C">
        <w:rPr>
          <w:rFonts w:cs="Arial"/>
          <w:i/>
          <w:color w:val="000000"/>
        </w:rPr>
        <w:t xml:space="preserve"> </w:t>
      </w:r>
      <w:r w:rsidRPr="00CA357C">
        <w:rPr>
          <w:rFonts w:cs="Arial"/>
          <w:color w:val="000000"/>
        </w:rPr>
        <w:t xml:space="preserve">kamate za primljene kredite i zajmove od kreditnih i ostalih institucija izvan javnog sektora za otplatu financijskog </w:t>
      </w:r>
      <w:proofErr w:type="spellStart"/>
      <w:r w:rsidRPr="00CA357C">
        <w:rPr>
          <w:rFonts w:cs="Arial"/>
          <w:i/>
          <w:color w:val="000000"/>
        </w:rPr>
        <w:t>leasinga</w:t>
      </w:r>
      <w:proofErr w:type="spellEnd"/>
      <w:r w:rsidRPr="00CA357C">
        <w:rPr>
          <w:rFonts w:cs="Arial"/>
          <w:color w:val="000000"/>
        </w:rPr>
        <w:t xml:space="preserve"> za nabavu šest automobila niže srednje klase i putničko kombi vozilo. </w:t>
      </w:r>
    </w:p>
    <w:p w14:paraId="0C8DE59C" w14:textId="77777777" w:rsidR="004E0224" w:rsidRPr="00CA357C" w:rsidRDefault="004E0224" w:rsidP="004E0224">
      <w:pPr>
        <w:ind w:firstLine="567"/>
        <w:rPr>
          <w:rFonts w:cs="Arial"/>
        </w:rPr>
      </w:pPr>
    </w:p>
    <w:p w14:paraId="0FC4DE0A" w14:textId="740C0402" w:rsidR="004E0224" w:rsidRPr="00EF2FF9" w:rsidRDefault="004E0224" w:rsidP="00982253">
      <w:pPr>
        <w:ind w:firstLine="567"/>
        <w:rPr>
          <w:rFonts w:cs="Arial"/>
          <w:b/>
        </w:rPr>
      </w:pPr>
      <w:r w:rsidRPr="00CA357C">
        <w:rPr>
          <w:rFonts w:cs="Arial"/>
          <w:b/>
        </w:rPr>
        <w:t>Rashodi za nabavu proizvedene dugotrajne imovine</w:t>
      </w:r>
      <w:r w:rsidRPr="00CA357C">
        <w:rPr>
          <w:rFonts w:cs="Arial"/>
        </w:rPr>
        <w:t xml:space="preserve"> </w:t>
      </w:r>
      <w:r w:rsidRPr="00EF2FF9">
        <w:rPr>
          <w:rFonts w:cs="Arial"/>
        </w:rPr>
        <w:t xml:space="preserve">izvršeni su u iznosu od </w:t>
      </w:r>
      <w:r w:rsidR="00B03F1B" w:rsidRPr="00EF2FF9">
        <w:rPr>
          <w:rFonts w:cs="Arial"/>
        </w:rPr>
        <w:t xml:space="preserve">104.329,99 </w:t>
      </w:r>
      <w:r w:rsidR="00872506">
        <w:rPr>
          <w:rFonts w:cs="Arial"/>
        </w:rPr>
        <w:t>eura</w:t>
      </w:r>
      <w:r w:rsidRPr="00EF2FF9">
        <w:rPr>
          <w:rFonts w:cs="Arial"/>
        </w:rPr>
        <w:t xml:space="preserve"> ili </w:t>
      </w:r>
      <w:r w:rsidR="00B03F1B" w:rsidRPr="00EF2FF9">
        <w:rPr>
          <w:rFonts w:cs="Arial"/>
        </w:rPr>
        <w:t>89,7</w:t>
      </w:r>
      <w:r w:rsidRPr="00EF2FF9">
        <w:rPr>
          <w:rFonts w:cs="Arial"/>
        </w:rPr>
        <w:t xml:space="preserve"> % u odnosu na tekući plan za 2023., a odnose se na </w:t>
      </w:r>
      <w:r w:rsidR="00D147C8" w:rsidRPr="00EF2FF9">
        <w:rPr>
          <w:rFonts w:cs="Arial"/>
        </w:rPr>
        <w:t xml:space="preserve">rashode za nabavu </w:t>
      </w:r>
      <w:r w:rsidRPr="00EF2FF9">
        <w:rPr>
          <w:rFonts w:cs="Arial"/>
        </w:rPr>
        <w:t>prijevozn</w:t>
      </w:r>
      <w:r w:rsidR="00D147C8" w:rsidRPr="00EF2FF9">
        <w:rPr>
          <w:rFonts w:cs="Arial"/>
        </w:rPr>
        <w:t xml:space="preserve">ih </w:t>
      </w:r>
      <w:r w:rsidRPr="00EF2FF9">
        <w:rPr>
          <w:rFonts w:cs="Arial"/>
        </w:rPr>
        <w:t xml:space="preserve">sredstva </w:t>
      </w:r>
      <w:r w:rsidR="00D147C8" w:rsidRPr="00EF2FF9">
        <w:rPr>
          <w:rFonts w:cs="Arial"/>
        </w:rPr>
        <w:t>odnosno šest automobila niže srednje klase i putničkog kombi vozila nabavljeni</w:t>
      </w:r>
      <w:r w:rsidR="0064014B">
        <w:rPr>
          <w:rFonts w:cs="Arial"/>
        </w:rPr>
        <w:t>h</w:t>
      </w:r>
      <w:r w:rsidR="00D147C8" w:rsidRPr="00EF2FF9">
        <w:rPr>
          <w:rFonts w:cs="Arial"/>
        </w:rPr>
        <w:t xml:space="preserve"> putem financijskog </w:t>
      </w:r>
      <w:proofErr w:type="spellStart"/>
      <w:r w:rsidR="00D147C8" w:rsidRPr="00EF2FF9">
        <w:rPr>
          <w:rFonts w:cs="Arial"/>
          <w:i/>
        </w:rPr>
        <w:t>leasinga</w:t>
      </w:r>
      <w:proofErr w:type="spellEnd"/>
      <w:r w:rsidR="00D147C8" w:rsidRPr="00EF2FF9">
        <w:rPr>
          <w:rFonts w:cs="Arial"/>
          <w:i/>
        </w:rPr>
        <w:t xml:space="preserve">. </w:t>
      </w:r>
      <w:r w:rsidR="00D147C8" w:rsidRPr="00EF2FF9">
        <w:rPr>
          <w:rFonts w:cs="Arial"/>
        </w:rPr>
        <w:t xml:space="preserve"> </w:t>
      </w:r>
    </w:p>
    <w:p w14:paraId="2535A7CC" w14:textId="6B503839" w:rsidR="004475E8" w:rsidRDefault="004475E8" w:rsidP="004475E8"/>
    <w:p w14:paraId="7F89E05C" w14:textId="77777777" w:rsidR="004475E8" w:rsidRPr="004475E8" w:rsidRDefault="004475E8" w:rsidP="004475E8"/>
    <w:p w14:paraId="02AC1F63" w14:textId="2DCE3DE8" w:rsidR="00842324" w:rsidRPr="00A07C8B" w:rsidRDefault="0086357B" w:rsidP="00A07C8B">
      <w:pPr>
        <w:pStyle w:val="Naslov2"/>
        <w:numPr>
          <w:ilvl w:val="1"/>
          <w:numId w:val="23"/>
        </w:numPr>
        <w:tabs>
          <w:tab w:val="left" w:pos="993"/>
        </w:tabs>
        <w:rPr>
          <w:rFonts w:ascii="Arial" w:hAnsi="Arial" w:cs="Arial"/>
          <w:b/>
          <w:color w:val="auto"/>
        </w:rPr>
      </w:pPr>
      <w:bookmarkStart w:id="8" w:name="_Toc162444744"/>
      <w:r w:rsidRPr="00A07C8B">
        <w:rPr>
          <w:rFonts w:ascii="Arial" w:hAnsi="Arial" w:cs="Arial"/>
          <w:b/>
          <w:color w:val="auto"/>
        </w:rPr>
        <w:t>Obrazloženje</w:t>
      </w:r>
      <w:r w:rsidR="007D1F54" w:rsidRPr="00A07C8B">
        <w:rPr>
          <w:rFonts w:ascii="Arial" w:hAnsi="Arial" w:cs="Arial"/>
          <w:b/>
          <w:color w:val="auto"/>
        </w:rPr>
        <w:t xml:space="preserve"> godišnjeg izvještaja o izvršenju</w:t>
      </w:r>
      <w:r w:rsidRPr="00A07C8B">
        <w:rPr>
          <w:rFonts w:ascii="Arial" w:hAnsi="Arial" w:cs="Arial"/>
          <w:b/>
          <w:color w:val="auto"/>
        </w:rPr>
        <w:t xml:space="preserve"> financijskog plana</w:t>
      </w:r>
      <w:bookmarkEnd w:id="4"/>
      <w:r w:rsidR="007D1F54" w:rsidRPr="00A07C8B">
        <w:rPr>
          <w:rFonts w:ascii="Arial" w:hAnsi="Arial" w:cs="Arial"/>
          <w:b/>
          <w:color w:val="auto"/>
        </w:rPr>
        <w:t xml:space="preserve"> </w:t>
      </w:r>
      <w:r w:rsidR="002F24FC" w:rsidRPr="00A07C8B">
        <w:rPr>
          <w:rFonts w:ascii="Arial" w:hAnsi="Arial" w:cs="Arial"/>
          <w:b/>
          <w:color w:val="auto"/>
        </w:rPr>
        <w:br/>
        <w:t xml:space="preserve">    </w:t>
      </w:r>
      <w:r w:rsidR="007D1F54" w:rsidRPr="00A07C8B">
        <w:rPr>
          <w:rFonts w:ascii="Arial" w:hAnsi="Arial" w:cs="Arial"/>
          <w:b/>
          <w:color w:val="auto"/>
        </w:rPr>
        <w:t>za 2023.</w:t>
      </w:r>
      <w:bookmarkEnd w:id="8"/>
    </w:p>
    <w:p w14:paraId="49C659A2" w14:textId="77777777" w:rsidR="00AB55D8" w:rsidRPr="002F24FC" w:rsidRDefault="00AB55D8" w:rsidP="002F24FC">
      <w:pPr>
        <w:pStyle w:val="Naslov2"/>
        <w:rPr>
          <w:b/>
          <w:color w:val="auto"/>
        </w:rPr>
      </w:pPr>
    </w:p>
    <w:p w14:paraId="094601FF" w14:textId="1C07773F" w:rsidR="00842324" w:rsidRPr="00CA357C" w:rsidRDefault="003C6EE2" w:rsidP="007D1F5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7D1F54" w:rsidRPr="00CA357C">
        <w:rPr>
          <w:rFonts w:cs="Arial"/>
          <w:color w:val="000000" w:themeColor="text1"/>
        </w:rPr>
        <w:t>Obrazloženje godišnjeg</w:t>
      </w:r>
      <w:r w:rsidR="00EF217B" w:rsidRPr="00CA357C">
        <w:rPr>
          <w:rFonts w:cs="Arial"/>
          <w:color w:val="000000" w:themeColor="text1"/>
        </w:rPr>
        <w:t xml:space="preserve"> </w:t>
      </w:r>
      <w:r w:rsidR="007D1F54" w:rsidRPr="00CA357C">
        <w:rPr>
          <w:rFonts w:cs="Arial"/>
          <w:color w:val="000000" w:themeColor="text1"/>
        </w:rPr>
        <w:t xml:space="preserve">izvještaja o izvršenju financijskog plana </w:t>
      </w:r>
      <w:r w:rsidR="002F24FC">
        <w:rPr>
          <w:rFonts w:cs="Arial"/>
          <w:color w:val="000000" w:themeColor="text1"/>
        </w:rPr>
        <w:t xml:space="preserve">sastoji </w:t>
      </w:r>
      <w:r w:rsidR="00911431">
        <w:rPr>
          <w:rFonts w:cs="Arial"/>
          <w:color w:val="000000" w:themeColor="text1"/>
        </w:rPr>
        <w:t xml:space="preserve">se </w:t>
      </w:r>
      <w:r w:rsidR="002F24FC">
        <w:rPr>
          <w:rFonts w:cs="Arial"/>
          <w:color w:val="000000" w:themeColor="text1"/>
        </w:rPr>
        <w:t xml:space="preserve">od </w:t>
      </w:r>
      <w:r w:rsidR="00AB55D8" w:rsidRPr="00CA357C">
        <w:rPr>
          <w:rFonts w:cs="Arial"/>
          <w:color w:val="000000" w:themeColor="text1"/>
        </w:rPr>
        <w:t xml:space="preserve"> obrazloženj</w:t>
      </w:r>
      <w:r w:rsidR="002F24FC">
        <w:rPr>
          <w:rFonts w:cs="Arial"/>
          <w:color w:val="000000" w:themeColor="text1"/>
        </w:rPr>
        <w:t>a</w:t>
      </w:r>
      <w:r w:rsidR="00AB55D8" w:rsidRPr="00CA357C">
        <w:rPr>
          <w:rFonts w:cs="Arial"/>
          <w:color w:val="000000" w:themeColor="text1"/>
        </w:rPr>
        <w:t xml:space="preserve"> općeg </w:t>
      </w:r>
      <w:r w:rsidR="007D1F54" w:rsidRPr="00CA357C">
        <w:rPr>
          <w:rFonts w:cs="Arial"/>
          <w:color w:val="000000" w:themeColor="text1"/>
        </w:rPr>
        <w:t xml:space="preserve">i posebnog </w:t>
      </w:r>
      <w:r w:rsidR="00AB55D8" w:rsidRPr="00CA357C">
        <w:rPr>
          <w:rFonts w:cs="Arial"/>
          <w:color w:val="000000" w:themeColor="text1"/>
        </w:rPr>
        <w:t xml:space="preserve">dijela </w:t>
      </w:r>
      <w:r w:rsidR="007D1F54" w:rsidRPr="00CA357C">
        <w:rPr>
          <w:rFonts w:cs="Arial"/>
          <w:color w:val="000000" w:themeColor="text1"/>
        </w:rPr>
        <w:t xml:space="preserve">izvještaja o izvršenju financijskog </w:t>
      </w:r>
      <w:r w:rsidR="002F24FC">
        <w:rPr>
          <w:rFonts w:cs="Arial"/>
          <w:color w:val="000000" w:themeColor="text1"/>
        </w:rPr>
        <w:t xml:space="preserve">plana unutar kojeg se obrazlaže ostvarenje prihoda i rashoda, primitaka i izdataka te prijenosa sredstava iz prethodne godine u sljedeću godinu. </w:t>
      </w:r>
    </w:p>
    <w:p w14:paraId="33976C0F" w14:textId="30CC9472" w:rsidR="00842324" w:rsidRPr="00CA357C" w:rsidRDefault="00842324" w:rsidP="0084232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sz w:val="28"/>
          <w:szCs w:val="28"/>
        </w:rPr>
      </w:pPr>
    </w:p>
    <w:p w14:paraId="3367A970" w14:textId="77777777" w:rsidR="000D289D" w:rsidRPr="00CA357C" w:rsidRDefault="000D289D" w:rsidP="0084232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sz w:val="28"/>
          <w:szCs w:val="28"/>
        </w:rPr>
      </w:pPr>
    </w:p>
    <w:p w14:paraId="3D239551" w14:textId="5AB84EFC" w:rsidR="00842324" w:rsidRDefault="00842324" w:rsidP="00657835">
      <w:pPr>
        <w:pStyle w:val="Naslov3"/>
        <w:numPr>
          <w:ilvl w:val="2"/>
          <w:numId w:val="23"/>
        </w:numPr>
        <w:rPr>
          <w:rFonts w:ascii="Arial" w:hAnsi="Arial" w:cs="Arial"/>
          <w:b/>
          <w:color w:val="auto"/>
        </w:rPr>
      </w:pPr>
      <w:bookmarkStart w:id="9" w:name="_Toc116889210"/>
      <w:bookmarkStart w:id="10" w:name="_Toc162444745"/>
      <w:r w:rsidRPr="00657835">
        <w:rPr>
          <w:rFonts w:ascii="Arial" w:hAnsi="Arial" w:cs="Arial"/>
          <w:b/>
          <w:color w:val="auto"/>
        </w:rPr>
        <w:t>Obrazloženje općeg dijela</w:t>
      </w:r>
      <w:r w:rsidR="00657835">
        <w:rPr>
          <w:rFonts w:ascii="Arial" w:hAnsi="Arial" w:cs="Arial"/>
          <w:b/>
          <w:color w:val="auto"/>
        </w:rPr>
        <w:t xml:space="preserve"> izvršenja</w:t>
      </w:r>
      <w:r w:rsidRPr="00657835">
        <w:rPr>
          <w:rFonts w:ascii="Arial" w:hAnsi="Arial" w:cs="Arial"/>
          <w:b/>
          <w:color w:val="auto"/>
        </w:rPr>
        <w:t xml:space="preserve"> financijskog plana</w:t>
      </w:r>
      <w:bookmarkEnd w:id="9"/>
      <w:bookmarkEnd w:id="10"/>
    </w:p>
    <w:p w14:paraId="6BBB001F" w14:textId="0244310C" w:rsidR="00657835" w:rsidRDefault="00657835" w:rsidP="00657835"/>
    <w:p w14:paraId="309D3AAF" w14:textId="6DE78AD3" w:rsidR="003C10DE" w:rsidRPr="003C10DE" w:rsidRDefault="00657835" w:rsidP="00911431">
      <w:pPr>
        <w:ind w:firstLine="709"/>
      </w:pPr>
      <w:r>
        <w:t>Obrazloženje općeg dijela izvršenja financijskog plana sadrži obr</w:t>
      </w:r>
      <w:r w:rsidR="003C10DE">
        <w:t>azloženje prihoda i primitaka,</w:t>
      </w:r>
      <w:r>
        <w:t xml:space="preserve"> rashoda i izdataka</w:t>
      </w:r>
      <w:r w:rsidR="003C10DE">
        <w:t xml:space="preserve"> te </w:t>
      </w:r>
      <w:r w:rsidR="00DE0299">
        <w:t>p</w:t>
      </w:r>
      <w:r w:rsidR="00E04F5A" w:rsidRPr="003C10DE">
        <w:t>rijenos sredstava iz prethodne godine u sljedeću godinu</w:t>
      </w:r>
    </w:p>
    <w:p w14:paraId="0D1A3FCD" w14:textId="36BAB505" w:rsidR="00657835" w:rsidRPr="00657835" w:rsidRDefault="00657835" w:rsidP="003C10DE">
      <w:r>
        <w:t xml:space="preserve">ostvarenih u razdoblju od 1. siječnja do </w:t>
      </w:r>
      <w:r w:rsidR="00190E25">
        <w:t>31. prosinca</w:t>
      </w:r>
      <w:r>
        <w:t xml:space="preserve"> 2023.</w:t>
      </w:r>
    </w:p>
    <w:p w14:paraId="3BF6C1D7" w14:textId="4A9E3C90" w:rsidR="00842324" w:rsidRPr="00CA357C" w:rsidRDefault="00842324" w:rsidP="00842324">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b/>
          <w:color w:val="000000" w:themeColor="text1"/>
        </w:rPr>
      </w:pPr>
    </w:p>
    <w:p w14:paraId="1E875E3A" w14:textId="285CDE09" w:rsidR="00AB55D8" w:rsidRPr="00CA357C" w:rsidRDefault="00FD0964" w:rsidP="0051670A">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sidRPr="00CA357C">
        <w:rPr>
          <w:rFonts w:cs="Arial"/>
          <w:color w:val="000000" w:themeColor="text1"/>
        </w:rPr>
        <w:tab/>
      </w:r>
      <w:r w:rsidR="00AB55D8" w:rsidRPr="00CA357C">
        <w:rPr>
          <w:rFonts w:cs="Arial"/>
          <w:color w:val="000000" w:themeColor="text1"/>
        </w:rPr>
        <w:t xml:space="preserve">Ukupni </w:t>
      </w:r>
      <w:r w:rsidR="00AB55D8" w:rsidRPr="00CA357C">
        <w:rPr>
          <w:rFonts w:cs="Arial"/>
          <w:b/>
          <w:color w:val="000000" w:themeColor="text1"/>
        </w:rPr>
        <w:t>prihodi i primici</w:t>
      </w:r>
      <w:r w:rsidR="00AB55D8" w:rsidRPr="00CA357C">
        <w:rPr>
          <w:rFonts w:cs="Arial"/>
          <w:color w:val="000000" w:themeColor="text1"/>
        </w:rPr>
        <w:t xml:space="preserve"> </w:t>
      </w:r>
      <w:r w:rsidR="0051670A" w:rsidRPr="00CA357C">
        <w:rPr>
          <w:rFonts w:cs="Arial"/>
          <w:color w:val="000000" w:themeColor="text1"/>
        </w:rPr>
        <w:t>izvršen</w:t>
      </w:r>
      <w:r w:rsidR="00BD44E9" w:rsidRPr="00CA357C">
        <w:rPr>
          <w:rFonts w:cs="Arial"/>
          <w:color w:val="000000" w:themeColor="text1"/>
        </w:rPr>
        <w:t xml:space="preserve">i su u iznosu od </w:t>
      </w:r>
      <w:r w:rsidR="00190E25">
        <w:rPr>
          <w:rFonts w:cs="Arial"/>
          <w:color w:val="000000" w:themeColor="text1"/>
        </w:rPr>
        <w:t>11.030.221,04</w:t>
      </w:r>
      <w:r w:rsidR="00BD44E9" w:rsidRPr="00CA357C">
        <w:rPr>
          <w:rFonts w:cs="Arial"/>
          <w:color w:val="000000" w:themeColor="text1"/>
        </w:rPr>
        <w:t xml:space="preserve"> </w:t>
      </w:r>
      <w:r w:rsidR="009D5D64">
        <w:rPr>
          <w:rFonts w:cs="Arial"/>
          <w:color w:val="000000" w:themeColor="text1"/>
        </w:rPr>
        <w:t>eura</w:t>
      </w:r>
      <w:r w:rsidR="00BD44E9" w:rsidRPr="00CA357C">
        <w:rPr>
          <w:rFonts w:cs="Arial"/>
          <w:color w:val="000000" w:themeColor="text1"/>
        </w:rPr>
        <w:t xml:space="preserve"> ili </w:t>
      </w:r>
      <w:r w:rsidR="00190E25">
        <w:rPr>
          <w:rFonts w:cs="Arial"/>
          <w:color w:val="000000" w:themeColor="text1"/>
        </w:rPr>
        <w:t>98,9</w:t>
      </w:r>
      <w:r w:rsidR="008A7794">
        <w:rPr>
          <w:rFonts w:cs="Arial"/>
          <w:color w:val="000000" w:themeColor="text1"/>
        </w:rPr>
        <w:t>5</w:t>
      </w:r>
      <w:r w:rsidR="00BD44E9" w:rsidRPr="00CA357C">
        <w:rPr>
          <w:rFonts w:cs="Arial"/>
          <w:color w:val="000000" w:themeColor="text1"/>
        </w:rPr>
        <w:t xml:space="preserve"> % u odnosu na tekući plan za 2023. i veći su za </w:t>
      </w:r>
      <w:r w:rsidR="00190E25">
        <w:rPr>
          <w:rFonts w:cs="Arial"/>
          <w:color w:val="000000" w:themeColor="text1"/>
        </w:rPr>
        <w:t>194.171,90</w:t>
      </w:r>
      <w:r w:rsidR="00BD44E9" w:rsidRPr="00CA357C">
        <w:rPr>
          <w:rFonts w:cs="Arial"/>
          <w:color w:val="000000" w:themeColor="text1"/>
        </w:rPr>
        <w:t xml:space="preserve"> </w:t>
      </w:r>
      <w:r w:rsidR="009D5D64">
        <w:rPr>
          <w:rFonts w:cs="Arial"/>
          <w:color w:val="000000" w:themeColor="text1"/>
        </w:rPr>
        <w:t>eura</w:t>
      </w:r>
      <w:r w:rsidR="00BD44E9" w:rsidRPr="00CA357C">
        <w:rPr>
          <w:rFonts w:cs="Arial"/>
          <w:color w:val="000000" w:themeColor="text1"/>
        </w:rPr>
        <w:t xml:space="preserve"> u odnosu na prethodno izvještajno razdoblje, </w:t>
      </w:r>
      <w:r w:rsidR="00DB137C" w:rsidRPr="00CA357C">
        <w:rPr>
          <w:rFonts w:cs="Arial"/>
          <w:color w:val="000000" w:themeColor="text1"/>
        </w:rPr>
        <w:t xml:space="preserve">a </w:t>
      </w:r>
      <w:r w:rsidR="00CF42FD" w:rsidRPr="00CA357C">
        <w:rPr>
          <w:rFonts w:cs="Arial"/>
          <w:color w:val="000000" w:themeColor="text1"/>
        </w:rPr>
        <w:t>o</w:t>
      </w:r>
      <w:r w:rsidR="00AB55D8" w:rsidRPr="00CA357C">
        <w:rPr>
          <w:rFonts w:cs="Arial"/>
          <w:color w:val="000000" w:themeColor="text1"/>
        </w:rPr>
        <w:t xml:space="preserve">dnose se na </w:t>
      </w:r>
      <w:r w:rsidR="0051670A" w:rsidRPr="00CA357C">
        <w:rPr>
          <w:rFonts w:cs="Arial"/>
          <w:i/>
          <w:color w:val="000000" w:themeColor="text1"/>
        </w:rPr>
        <w:t>kapitalne pomoći od institucija i tijela EU</w:t>
      </w:r>
      <w:r w:rsidR="0051670A" w:rsidRPr="00CA357C">
        <w:rPr>
          <w:rFonts w:cs="Arial"/>
          <w:color w:val="000000" w:themeColor="text1"/>
        </w:rPr>
        <w:t xml:space="preserve"> u iznosu od </w:t>
      </w:r>
      <w:r w:rsidR="00190E25">
        <w:rPr>
          <w:rFonts w:cs="Arial"/>
          <w:color w:val="000000" w:themeColor="text1"/>
        </w:rPr>
        <w:t>357.716,99</w:t>
      </w:r>
      <w:r w:rsidR="0051670A" w:rsidRPr="00CA357C">
        <w:rPr>
          <w:rFonts w:cs="Arial"/>
          <w:color w:val="000000" w:themeColor="text1"/>
        </w:rPr>
        <w:t xml:space="preserve"> </w:t>
      </w:r>
      <w:r w:rsidR="00872506">
        <w:rPr>
          <w:rFonts w:cs="Arial"/>
          <w:color w:val="000000" w:themeColor="text1"/>
        </w:rPr>
        <w:t>eura</w:t>
      </w:r>
      <w:r w:rsidR="0051670A" w:rsidRPr="00CA357C">
        <w:rPr>
          <w:rFonts w:cs="Arial"/>
          <w:color w:val="000000" w:themeColor="text1"/>
        </w:rPr>
        <w:t xml:space="preserve">, </w:t>
      </w:r>
      <w:r w:rsidR="00190E25">
        <w:rPr>
          <w:rFonts w:cs="Arial"/>
          <w:i/>
          <w:color w:val="000000" w:themeColor="text1"/>
        </w:rPr>
        <w:t>prihode</w:t>
      </w:r>
      <w:r w:rsidR="00190E25" w:rsidRPr="00190E25">
        <w:rPr>
          <w:rFonts w:cs="Arial"/>
          <w:i/>
          <w:color w:val="000000" w:themeColor="text1"/>
        </w:rPr>
        <w:t xml:space="preserve"> od pruženih usluga</w:t>
      </w:r>
      <w:r w:rsidR="00190E25">
        <w:rPr>
          <w:rFonts w:cs="Arial"/>
          <w:color w:val="000000" w:themeColor="text1"/>
        </w:rPr>
        <w:t xml:space="preserve"> u iznosu od 102.361,10 </w:t>
      </w:r>
      <w:r w:rsidR="009D5D64">
        <w:rPr>
          <w:rFonts w:cs="Arial"/>
          <w:color w:val="000000" w:themeColor="text1"/>
        </w:rPr>
        <w:t>eura</w:t>
      </w:r>
      <w:r w:rsidR="00190E25">
        <w:rPr>
          <w:rFonts w:cs="Arial"/>
          <w:color w:val="000000" w:themeColor="text1"/>
        </w:rPr>
        <w:t xml:space="preserve">, </w:t>
      </w:r>
      <w:r w:rsidR="0051670A" w:rsidRPr="00CA357C">
        <w:rPr>
          <w:rFonts w:cs="Arial"/>
          <w:i/>
          <w:color w:val="000000" w:themeColor="text1"/>
        </w:rPr>
        <w:t>p</w:t>
      </w:r>
      <w:r w:rsidR="00AB55D8" w:rsidRPr="00CA357C">
        <w:rPr>
          <w:rFonts w:cs="Arial"/>
          <w:i/>
          <w:color w:val="000000" w:themeColor="text1"/>
        </w:rPr>
        <w:t>rihod</w:t>
      </w:r>
      <w:r w:rsidR="00CF42FD" w:rsidRPr="00CA357C">
        <w:rPr>
          <w:rFonts w:cs="Arial"/>
          <w:i/>
          <w:color w:val="000000" w:themeColor="text1"/>
        </w:rPr>
        <w:t>e</w:t>
      </w:r>
      <w:r w:rsidR="00AB55D8" w:rsidRPr="00CA357C">
        <w:rPr>
          <w:rFonts w:cs="Arial"/>
          <w:i/>
          <w:color w:val="000000" w:themeColor="text1"/>
        </w:rPr>
        <w:t xml:space="preserve"> iz nadležnog proračuna </w:t>
      </w:r>
      <w:r w:rsidR="0051670A" w:rsidRPr="00CA357C">
        <w:rPr>
          <w:rFonts w:cs="Arial"/>
          <w:i/>
          <w:color w:val="000000" w:themeColor="text1"/>
        </w:rPr>
        <w:t>za financiranje rashoda poslovanja</w:t>
      </w:r>
      <w:r w:rsidR="0051670A" w:rsidRPr="00CA357C">
        <w:rPr>
          <w:rFonts w:cs="Arial"/>
          <w:color w:val="000000" w:themeColor="text1"/>
        </w:rPr>
        <w:t xml:space="preserve"> u iznosu od </w:t>
      </w:r>
      <w:r w:rsidR="00190E25">
        <w:rPr>
          <w:rFonts w:cs="Arial"/>
          <w:color w:val="000000" w:themeColor="text1"/>
        </w:rPr>
        <w:t>10.051.116,50</w:t>
      </w:r>
      <w:r w:rsidR="0051670A" w:rsidRPr="00CA357C">
        <w:rPr>
          <w:rFonts w:cs="Arial"/>
          <w:color w:val="000000" w:themeColor="text1"/>
        </w:rPr>
        <w:t xml:space="preserve"> </w:t>
      </w:r>
      <w:r w:rsidR="00872506">
        <w:rPr>
          <w:rFonts w:cs="Arial"/>
          <w:color w:val="000000" w:themeColor="text1"/>
        </w:rPr>
        <w:t>eura</w:t>
      </w:r>
      <w:r w:rsidR="0051670A" w:rsidRPr="00CA357C">
        <w:rPr>
          <w:rFonts w:cs="Arial"/>
          <w:color w:val="000000" w:themeColor="text1"/>
        </w:rPr>
        <w:t xml:space="preserve"> te </w:t>
      </w:r>
      <w:r w:rsidR="0051670A" w:rsidRPr="00CA357C">
        <w:rPr>
          <w:rFonts w:cs="Arial"/>
          <w:i/>
          <w:color w:val="000000" w:themeColor="text1"/>
        </w:rPr>
        <w:t>prihode iz nadležnog proračuna</w:t>
      </w:r>
      <w:r w:rsidR="00A61A53" w:rsidRPr="00CA357C">
        <w:rPr>
          <w:rFonts w:cs="Arial"/>
          <w:i/>
          <w:color w:val="000000" w:themeColor="text1"/>
        </w:rPr>
        <w:t xml:space="preserve"> za</w:t>
      </w:r>
      <w:r w:rsidR="0051670A" w:rsidRPr="00CA357C">
        <w:rPr>
          <w:rFonts w:cs="Arial"/>
          <w:i/>
          <w:color w:val="000000" w:themeColor="text1"/>
        </w:rPr>
        <w:t xml:space="preserve"> financiranje rashoda za nabavu nefinancijske imovine</w:t>
      </w:r>
      <w:r w:rsidR="0051670A" w:rsidRPr="00CA357C">
        <w:rPr>
          <w:rFonts w:cs="Arial"/>
          <w:color w:val="000000" w:themeColor="text1"/>
        </w:rPr>
        <w:t xml:space="preserve"> u iznosu od </w:t>
      </w:r>
      <w:r w:rsidR="00190E25">
        <w:rPr>
          <w:rFonts w:cs="Arial"/>
          <w:color w:val="000000" w:themeColor="text1"/>
        </w:rPr>
        <w:t>519.026,45</w:t>
      </w:r>
      <w:r w:rsidR="0051670A" w:rsidRPr="00CA357C">
        <w:rPr>
          <w:rFonts w:cs="Arial"/>
          <w:color w:val="000000" w:themeColor="text1"/>
        </w:rPr>
        <w:t xml:space="preserve"> </w:t>
      </w:r>
      <w:r w:rsidR="00872506">
        <w:rPr>
          <w:rFonts w:cs="Arial"/>
          <w:color w:val="000000" w:themeColor="text1"/>
        </w:rPr>
        <w:t>eura</w:t>
      </w:r>
      <w:r w:rsidR="0051670A" w:rsidRPr="00CA357C">
        <w:rPr>
          <w:rFonts w:cs="Arial"/>
          <w:color w:val="000000" w:themeColor="text1"/>
        </w:rPr>
        <w:t>.</w:t>
      </w:r>
    </w:p>
    <w:p w14:paraId="1793F3E6" w14:textId="77777777" w:rsidR="0051670A" w:rsidRPr="00CA357C" w:rsidRDefault="0051670A" w:rsidP="0051670A">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p>
    <w:p w14:paraId="74820493" w14:textId="11B4992B" w:rsidR="004B3894" w:rsidRDefault="00AB55D8" w:rsidP="00AB55D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sidRPr="00CA357C">
        <w:rPr>
          <w:rFonts w:cs="Arial"/>
          <w:color w:val="000000" w:themeColor="text1"/>
        </w:rPr>
        <w:tab/>
        <w:t xml:space="preserve">Ukupni </w:t>
      </w:r>
      <w:r w:rsidRPr="00CA357C">
        <w:rPr>
          <w:rFonts w:cs="Arial"/>
          <w:b/>
          <w:color w:val="000000" w:themeColor="text1"/>
        </w:rPr>
        <w:t>rashodi i izdaci</w:t>
      </w:r>
      <w:r w:rsidR="00446485" w:rsidRPr="00CA357C">
        <w:rPr>
          <w:rFonts w:cs="Arial"/>
          <w:color w:val="000000" w:themeColor="text1"/>
        </w:rPr>
        <w:t xml:space="preserve"> i</w:t>
      </w:r>
      <w:r w:rsidR="005C4661" w:rsidRPr="00CA357C">
        <w:rPr>
          <w:rFonts w:cs="Arial"/>
          <w:color w:val="000000" w:themeColor="text1"/>
        </w:rPr>
        <w:t xml:space="preserve">zvršeni su u iznosu od </w:t>
      </w:r>
      <w:r w:rsidR="00190E25">
        <w:rPr>
          <w:rFonts w:cs="Arial"/>
          <w:color w:val="000000" w:themeColor="text1"/>
        </w:rPr>
        <w:t>11.062.318,02</w:t>
      </w:r>
      <w:r w:rsidR="00446485" w:rsidRPr="00CA357C">
        <w:rPr>
          <w:rFonts w:cs="Arial"/>
          <w:color w:val="000000" w:themeColor="text1"/>
        </w:rPr>
        <w:t xml:space="preserve"> </w:t>
      </w:r>
      <w:r w:rsidR="00872506">
        <w:rPr>
          <w:rFonts w:cs="Arial"/>
          <w:color w:val="000000" w:themeColor="text1"/>
        </w:rPr>
        <w:t>eura</w:t>
      </w:r>
      <w:r w:rsidR="00446485" w:rsidRPr="00CA357C">
        <w:rPr>
          <w:rFonts w:cs="Arial"/>
          <w:color w:val="000000" w:themeColor="text1"/>
        </w:rPr>
        <w:t xml:space="preserve"> ili </w:t>
      </w:r>
      <w:r w:rsidR="00190E25">
        <w:rPr>
          <w:rFonts w:cs="Arial"/>
          <w:color w:val="000000" w:themeColor="text1"/>
        </w:rPr>
        <w:t>98,38</w:t>
      </w:r>
      <w:r w:rsidR="00446485" w:rsidRPr="00CA357C">
        <w:rPr>
          <w:rFonts w:cs="Arial"/>
          <w:color w:val="000000" w:themeColor="text1"/>
        </w:rPr>
        <w:t xml:space="preserve"> % u odnosu na tekući pl</w:t>
      </w:r>
      <w:r w:rsidR="005C4661" w:rsidRPr="00CA357C">
        <w:rPr>
          <w:rFonts w:cs="Arial"/>
          <w:color w:val="000000" w:themeColor="text1"/>
        </w:rPr>
        <w:t xml:space="preserve">an </w:t>
      </w:r>
      <w:r w:rsidR="001A10C8" w:rsidRPr="00CA357C">
        <w:rPr>
          <w:rFonts w:cs="Arial"/>
          <w:color w:val="000000" w:themeColor="text1"/>
        </w:rPr>
        <w:t xml:space="preserve">za 2023. </w:t>
      </w:r>
      <w:r w:rsidR="005C4661" w:rsidRPr="00CA357C">
        <w:rPr>
          <w:rFonts w:cs="Arial"/>
          <w:color w:val="000000" w:themeColor="text1"/>
        </w:rPr>
        <w:t xml:space="preserve">i veći su za </w:t>
      </w:r>
      <w:r w:rsidR="00190E25">
        <w:rPr>
          <w:rFonts w:cs="Arial"/>
          <w:color w:val="000000" w:themeColor="text1"/>
        </w:rPr>
        <w:t>19.610,79</w:t>
      </w:r>
      <w:r w:rsidR="00446485" w:rsidRPr="00CA357C">
        <w:rPr>
          <w:rFonts w:cs="Arial"/>
          <w:color w:val="000000" w:themeColor="text1"/>
        </w:rPr>
        <w:t xml:space="preserve"> </w:t>
      </w:r>
      <w:r w:rsidR="00872506">
        <w:rPr>
          <w:rFonts w:cs="Arial"/>
          <w:color w:val="000000" w:themeColor="text1"/>
        </w:rPr>
        <w:t>eura</w:t>
      </w:r>
      <w:r w:rsidR="00446485" w:rsidRPr="00CA357C">
        <w:rPr>
          <w:rFonts w:cs="Arial"/>
          <w:color w:val="000000" w:themeColor="text1"/>
        </w:rPr>
        <w:t xml:space="preserve"> u odnosu na prethodno izvještajno razdoblje</w:t>
      </w:r>
      <w:r w:rsidR="00BE70F8" w:rsidRPr="00CA357C">
        <w:rPr>
          <w:rFonts w:cs="Arial"/>
          <w:color w:val="000000" w:themeColor="text1"/>
        </w:rPr>
        <w:t>.</w:t>
      </w:r>
      <w:r w:rsidR="00446485" w:rsidRPr="00CA357C">
        <w:rPr>
          <w:rFonts w:cs="Arial"/>
          <w:color w:val="000000" w:themeColor="text1"/>
        </w:rPr>
        <w:t xml:space="preserve"> </w:t>
      </w:r>
    </w:p>
    <w:p w14:paraId="7E62ECE9" w14:textId="635B6528" w:rsidR="004B3894" w:rsidRDefault="004B3894" w:rsidP="00AB55D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FB0CE3" w:rsidRPr="00CA357C">
        <w:rPr>
          <w:rFonts w:cs="Arial"/>
          <w:color w:val="000000" w:themeColor="text1"/>
        </w:rPr>
        <w:t>Razlika uk</w:t>
      </w:r>
      <w:r w:rsidR="00024357" w:rsidRPr="00CA357C">
        <w:rPr>
          <w:rFonts w:cs="Arial"/>
          <w:color w:val="000000" w:themeColor="text1"/>
        </w:rPr>
        <w:t>u</w:t>
      </w:r>
      <w:r w:rsidR="00FB0CE3" w:rsidRPr="00CA357C">
        <w:rPr>
          <w:rFonts w:cs="Arial"/>
          <w:color w:val="000000" w:themeColor="text1"/>
        </w:rPr>
        <w:t>pnih prihoda i primitaka i ukupnih rashod</w:t>
      </w:r>
      <w:r w:rsidR="0001202A" w:rsidRPr="00CA357C">
        <w:rPr>
          <w:rFonts w:cs="Arial"/>
          <w:color w:val="000000" w:themeColor="text1"/>
        </w:rPr>
        <w:t xml:space="preserve">a i izdataka u iznosu od </w:t>
      </w:r>
      <w:r w:rsidR="00190E25">
        <w:rPr>
          <w:rFonts w:cs="Arial"/>
          <w:color w:val="000000" w:themeColor="text1"/>
        </w:rPr>
        <w:t>32.096,98</w:t>
      </w:r>
      <w:r w:rsidR="00FB0CE3" w:rsidRPr="00CA357C">
        <w:rPr>
          <w:rFonts w:cs="Arial"/>
          <w:color w:val="000000" w:themeColor="text1"/>
        </w:rPr>
        <w:t xml:space="preserve"> </w:t>
      </w:r>
      <w:r w:rsidR="00872506">
        <w:rPr>
          <w:rFonts w:cs="Arial"/>
          <w:color w:val="000000" w:themeColor="text1"/>
        </w:rPr>
        <w:t xml:space="preserve">eura </w:t>
      </w:r>
      <w:r w:rsidR="00FB0CE3" w:rsidRPr="00CA357C">
        <w:rPr>
          <w:rFonts w:cs="Arial"/>
          <w:color w:val="000000" w:themeColor="text1"/>
        </w:rPr>
        <w:t>podmirena je sreds</w:t>
      </w:r>
      <w:r w:rsidR="00024357" w:rsidRPr="00CA357C">
        <w:rPr>
          <w:rFonts w:cs="Arial"/>
          <w:color w:val="000000" w:themeColor="text1"/>
        </w:rPr>
        <w:t>t</w:t>
      </w:r>
      <w:r w:rsidR="00FB0CE3" w:rsidRPr="00CA357C">
        <w:rPr>
          <w:rFonts w:cs="Arial"/>
          <w:color w:val="000000" w:themeColor="text1"/>
        </w:rPr>
        <w:t xml:space="preserve">vima donosa iz prethodne godine. </w:t>
      </w:r>
    </w:p>
    <w:p w14:paraId="4A369F3A" w14:textId="78EF2D6E" w:rsidR="00AB55D8" w:rsidRPr="00CA357C" w:rsidRDefault="004B3894" w:rsidP="00AB55D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FB0CE3" w:rsidRPr="00CA357C">
        <w:rPr>
          <w:rFonts w:cs="Arial"/>
          <w:color w:val="000000" w:themeColor="text1"/>
        </w:rPr>
        <w:t>Ukupno izvršeni</w:t>
      </w:r>
      <w:r w:rsidR="00BE70F8" w:rsidRPr="00CA357C">
        <w:rPr>
          <w:rFonts w:cs="Arial"/>
          <w:color w:val="000000" w:themeColor="text1"/>
        </w:rPr>
        <w:t xml:space="preserve"> rashodi</w:t>
      </w:r>
      <w:r w:rsidR="00A91183" w:rsidRPr="00CA357C">
        <w:rPr>
          <w:rFonts w:cs="Arial"/>
          <w:color w:val="000000" w:themeColor="text1"/>
        </w:rPr>
        <w:t xml:space="preserve"> </w:t>
      </w:r>
      <w:r w:rsidR="00BE70F8" w:rsidRPr="00CA357C">
        <w:rPr>
          <w:rFonts w:cs="Arial"/>
          <w:color w:val="000000" w:themeColor="text1"/>
        </w:rPr>
        <w:t>o</w:t>
      </w:r>
      <w:r w:rsidR="00AB55D8" w:rsidRPr="00CA357C">
        <w:rPr>
          <w:rFonts w:cs="Arial"/>
          <w:color w:val="000000" w:themeColor="text1"/>
        </w:rPr>
        <w:t xml:space="preserve">dnose se na </w:t>
      </w:r>
      <w:r w:rsidR="00FB0CE3" w:rsidRPr="00CA357C">
        <w:rPr>
          <w:rFonts w:cs="Arial"/>
          <w:color w:val="000000" w:themeColor="text1"/>
        </w:rPr>
        <w:t>r</w:t>
      </w:r>
      <w:r w:rsidR="00AB55D8" w:rsidRPr="00CA357C">
        <w:rPr>
          <w:rFonts w:cs="Arial"/>
          <w:color w:val="000000" w:themeColor="text1"/>
        </w:rPr>
        <w:t xml:space="preserve">ashode za zaposlene u iznosu od </w:t>
      </w:r>
      <w:r w:rsidR="00190E25">
        <w:rPr>
          <w:rFonts w:cs="Arial"/>
          <w:color w:val="000000" w:themeColor="text1"/>
        </w:rPr>
        <w:t>8.540.934,74</w:t>
      </w:r>
      <w:r w:rsidR="00AB55D8" w:rsidRPr="00CA357C">
        <w:rPr>
          <w:rFonts w:cs="Arial"/>
          <w:color w:val="000000" w:themeColor="text1"/>
        </w:rPr>
        <w:t xml:space="preserve"> </w:t>
      </w:r>
      <w:r w:rsidR="00872506">
        <w:rPr>
          <w:rFonts w:cs="Arial"/>
          <w:color w:val="000000" w:themeColor="text1"/>
        </w:rPr>
        <w:t>eura</w:t>
      </w:r>
      <w:r w:rsidR="00AB55D8" w:rsidRPr="00CA357C">
        <w:rPr>
          <w:rFonts w:cs="Arial"/>
          <w:color w:val="000000" w:themeColor="text1"/>
        </w:rPr>
        <w:t xml:space="preserve">, </w:t>
      </w:r>
      <w:r w:rsidR="00FB0CE3" w:rsidRPr="00CA357C">
        <w:rPr>
          <w:rFonts w:cs="Arial"/>
          <w:color w:val="000000" w:themeColor="text1"/>
        </w:rPr>
        <w:t>m</w:t>
      </w:r>
      <w:r w:rsidR="00AB55D8" w:rsidRPr="00CA357C">
        <w:rPr>
          <w:rFonts w:cs="Arial"/>
          <w:color w:val="000000" w:themeColor="text1"/>
        </w:rPr>
        <w:t xml:space="preserve">aterijalne rashode u iznosu od </w:t>
      </w:r>
      <w:r w:rsidR="00190E25">
        <w:rPr>
          <w:rFonts w:cs="Arial"/>
          <w:color w:val="000000" w:themeColor="text1"/>
        </w:rPr>
        <w:t>1.631.430,67</w:t>
      </w:r>
      <w:r w:rsidR="00840F18" w:rsidRPr="00CA357C">
        <w:rPr>
          <w:rFonts w:cs="Arial"/>
          <w:color w:val="000000" w:themeColor="text1"/>
        </w:rPr>
        <w:t xml:space="preserve"> </w:t>
      </w:r>
      <w:r w:rsidR="00872506">
        <w:rPr>
          <w:rFonts w:cs="Arial"/>
          <w:color w:val="000000" w:themeColor="text1"/>
        </w:rPr>
        <w:t>eura</w:t>
      </w:r>
      <w:r w:rsidR="00840F18" w:rsidRPr="00CA357C">
        <w:rPr>
          <w:rFonts w:cs="Arial"/>
          <w:color w:val="000000" w:themeColor="text1"/>
        </w:rPr>
        <w:t xml:space="preserve">, </w:t>
      </w:r>
      <w:r w:rsidR="009C1BC6" w:rsidRPr="00CA357C">
        <w:rPr>
          <w:rFonts w:cs="Arial"/>
          <w:color w:val="000000" w:themeColor="text1"/>
        </w:rPr>
        <w:t>f</w:t>
      </w:r>
      <w:r w:rsidR="00AB55D8" w:rsidRPr="00CA357C">
        <w:rPr>
          <w:rFonts w:cs="Arial"/>
          <w:color w:val="000000" w:themeColor="text1"/>
        </w:rPr>
        <w:t xml:space="preserve">inancijske rashode u iznosu od </w:t>
      </w:r>
      <w:r w:rsidR="00190E25">
        <w:rPr>
          <w:rFonts w:cs="Arial"/>
          <w:color w:val="000000" w:themeColor="text1"/>
        </w:rPr>
        <w:t>10.820,16</w:t>
      </w:r>
      <w:r w:rsidR="00AB55D8" w:rsidRPr="00CA357C">
        <w:rPr>
          <w:rFonts w:cs="Arial"/>
          <w:color w:val="000000" w:themeColor="text1"/>
        </w:rPr>
        <w:t xml:space="preserve"> </w:t>
      </w:r>
      <w:r w:rsidR="00872506">
        <w:rPr>
          <w:rFonts w:cs="Arial"/>
          <w:color w:val="000000" w:themeColor="text1"/>
        </w:rPr>
        <w:t>eura</w:t>
      </w:r>
      <w:r w:rsidR="009C1BC6" w:rsidRPr="00CA357C">
        <w:rPr>
          <w:rFonts w:cs="Arial"/>
          <w:color w:val="000000" w:themeColor="text1"/>
        </w:rPr>
        <w:t>,</w:t>
      </w:r>
      <w:r w:rsidR="00AB55D8" w:rsidRPr="00CA357C">
        <w:rPr>
          <w:rFonts w:cs="Arial"/>
          <w:color w:val="000000" w:themeColor="text1"/>
        </w:rPr>
        <w:t xml:space="preserve"> </w:t>
      </w:r>
      <w:r w:rsidR="00016DE8">
        <w:rPr>
          <w:rFonts w:cs="Arial"/>
          <w:color w:val="000000" w:themeColor="text1"/>
        </w:rPr>
        <w:t xml:space="preserve">naknade građanima i kućanstvima na temelju osiguranja i druge naknade u iznosu od 2.389,01 </w:t>
      </w:r>
      <w:r w:rsidR="00872506">
        <w:rPr>
          <w:rFonts w:cs="Arial"/>
          <w:color w:val="000000" w:themeColor="text1"/>
        </w:rPr>
        <w:t>euro</w:t>
      </w:r>
      <w:r w:rsidR="00016DE8">
        <w:rPr>
          <w:rFonts w:cs="Arial"/>
          <w:color w:val="000000" w:themeColor="text1"/>
        </w:rPr>
        <w:t xml:space="preserve">, rashode za nabavu </w:t>
      </w:r>
      <w:proofErr w:type="spellStart"/>
      <w:r w:rsidR="00016DE8">
        <w:rPr>
          <w:rFonts w:cs="Arial"/>
          <w:color w:val="000000" w:themeColor="text1"/>
        </w:rPr>
        <w:t>neproizvedene</w:t>
      </w:r>
      <w:proofErr w:type="spellEnd"/>
      <w:r w:rsidR="00016DE8">
        <w:rPr>
          <w:rFonts w:cs="Arial"/>
          <w:color w:val="000000" w:themeColor="text1"/>
        </w:rPr>
        <w:t xml:space="preserve"> dugotrajne imovine u iznosu od 550,00 </w:t>
      </w:r>
      <w:r w:rsidR="00872506">
        <w:rPr>
          <w:rFonts w:cs="Arial"/>
          <w:color w:val="000000" w:themeColor="text1"/>
        </w:rPr>
        <w:t>eura</w:t>
      </w:r>
      <w:r w:rsidR="00016DE8">
        <w:rPr>
          <w:rFonts w:cs="Arial"/>
          <w:color w:val="000000" w:themeColor="text1"/>
        </w:rPr>
        <w:t xml:space="preserve">, </w:t>
      </w:r>
      <w:r w:rsidR="009C1BC6" w:rsidRPr="00CA357C">
        <w:rPr>
          <w:rFonts w:cs="Arial"/>
          <w:color w:val="000000" w:themeColor="text1"/>
        </w:rPr>
        <w:t>r</w:t>
      </w:r>
      <w:r w:rsidR="00AB55D8" w:rsidRPr="00CA357C">
        <w:rPr>
          <w:rFonts w:cs="Arial"/>
          <w:color w:val="000000" w:themeColor="text1"/>
        </w:rPr>
        <w:t xml:space="preserve">ashode za nabavu proizvedene dugotrajne imovine u iznosu od </w:t>
      </w:r>
      <w:r w:rsidR="00016DE8">
        <w:rPr>
          <w:rFonts w:cs="Arial"/>
          <w:color w:val="000000" w:themeColor="text1"/>
        </w:rPr>
        <w:t>156.980,17</w:t>
      </w:r>
      <w:r w:rsidR="00AB55D8" w:rsidRPr="00CA357C">
        <w:rPr>
          <w:rFonts w:cs="Arial"/>
          <w:color w:val="000000" w:themeColor="text1"/>
        </w:rPr>
        <w:t xml:space="preserve"> </w:t>
      </w:r>
      <w:r w:rsidR="00872506">
        <w:rPr>
          <w:rFonts w:cs="Arial"/>
          <w:color w:val="000000" w:themeColor="text1"/>
        </w:rPr>
        <w:t>eura</w:t>
      </w:r>
      <w:r w:rsidR="00AB55D8" w:rsidRPr="00CA357C">
        <w:rPr>
          <w:rFonts w:cs="Arial"/>
          <w:color w:val="000000" w:themeColor="text1"/>
        </w:rPr>
        <w:t xml:space="preserve"> te </w:t>
      </w:r>
      <w:r w:rsidR="009C1BC6" w:rsidRPr="00CA357C">
        <w:rPr>
          <w:rFonts w:cs="Arial"/>
          <w:color w:val="000000" w:themeColor="text1"/>
        </w:rPr>
        <w:t>r</w:t>
      </w:r>
      <w:r w:rsidR="00AB55D8" w:rsidRPr="00CA357C">
        <w:rPr>
          <w:rFonts w:cs="Arial"/>
          <w:color w:val="000000" w:themeColor="text1"/>
        </w:rPr>
        <w:t xml:space="preserve">ashode za dodatna ulaganja na nefinancijskoj imovini u iznosu od </w:t>
      </w:r>
      <w:r w:rsidR="00016DE8">
        <w:rPr>
          <w:rFonts w:cs="Arial"/>
          <w:color w:val="000000" w:themeColor="text1"/>
        </w:rPr>
        <w:t>719.213,27</w:t>
      </w:r>
      <w:r w:rsidR="00AB55D8" w:rsidRPr="00CA357C">
        <w:rPr>
          <w:rFonts w:cs="Arial"/>
          <w:color w:val="000000" w:themeColor="text1"/>
        </w:rPr>
        <w:t xml:space="preserve"> </w:t>
      </w:r>
      <w:r w:rsidR="00872506">
        <w:rPr>
          <w:rFonts w:cs="Arial"/>
          <w:color w:val="000000" w:themeColor="text1"/>
        </w:rPr>
        <w:t>eura</w:t>
      </w:r>
      <w:r w:rsidR="00AB55D8" w:rsidRPr="00CA357C">
        <w:rPr>
          <w:rFonts w:cs="Arial"/>
          <w:color w:val="000000" w:themeColor="text1"/>
        </w:rPr>
        <w:t xml:space="preserve">. </w:t>
      </w:r>
    </w:p>
    <w:p w14:paraId="5D49F99C" w14:textId="2703E7C4" w:rsidR="0002476B" w:rsidRPr="0002476B" w:rsidRDefault="00AB55D8" w:rsidP="0002476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sidRPr="00CA357C">
        <w:rPr>
          <w:rFonts w:cs="Arial"/>
          <w:color w:val="000000" w:themeColor="text1"/>
        </w:rPr>
        <w:tab/>
        <w:t>Vrijedno</w:t>
      </w:r>
      <w:r w:rsidR="00EF6A31" w:rsidRPr="00CA357C">
        <w:rPr>
          <w:rFonts w:cs="Arial"/>
          <w:color w:val="000000" w:themeColor="text1"/>
        </w:rPr>
        <w:t xml:space="preserve">sno </w:t>
      </w:r>
      <w:r w:rsidR="004051A0" w:rsidRPr="00CA357C">
        <w:rPr>
          <w:rFonts w:cs="Arial"/>
          <w:color w:val="000000" w:themeColor="text1"/>
        </w:rPr>
        <w:t>značajnije izvršenje rashoda odn</w:t>
      </w:r>
      <w:r w:rsidR="00D96D65">
        <w:rPr>
          <w:rFonts w:cs="Arial"/>
          <w:color w:val="000000" w:themeColor="text1"/>
        </w:rPr>
        <w:t xml:space="preserve">osi se na rashode za zaposlene </w:t>
      </w:r>
      <w:r w:rsidR="004051A0" w:rsidRPr="00CA357C">
        <w:rPr>
          <w:rFonts w:cs="Arial"/>
          <w:color w:val="000000" w:themeColor="text1"/>
        </w:rPr>
        <w:t xml:space="preserve">u iznosu od </w:t>
      </w:r>
      <w:r w:rsidR="000E24E2">
        <w:rPr>
          <w:rFonts w:cs="Arial"/>
          <w:color w:val="000000" w:themeColor="text1"/>
        </w:rPr>
        <w:t>8.540.934,74</w:t>
      </w:r>
      <w:r w:rsidR="007E368A" w:rsidRPr="00CA357C">
        <w:rPr>
          <w:rFonts w:cs="Arial"/>
          <w:color w:val="000000" w:themeColor="text1"/>
        </w:rPr>
        <w:t xml:space="preserve"> </w:t>
      </w:r>
      <w:r w:rsidR="00872506">
        <w:rPr>
          <w:rFonts w:cs="Arial"/>
          <w:color w:val="000000" w:themeColor="text1"/>
        </w:rPr>
        <w:t>eura</w:t>
      </w:r>
      <w:r w:rsidR="007E368A" w:rsidRPr="00CA357C">
        <w:rPr>
          <w:rFonts w:cs="Arial"/>
          <w:color w:val="000000" w:themeColor="text1"/>
        </w:rPr>
        <w:t xml:space="preserve"> ili</w:t>
      </w:r>
      <w:r w:rsidR="004051A0" w:rsidRPr="00CA357C">
        <w:rPr>
          <w:rFonts w:cs="Arial"/>
          <w:color w:val="000000" w:themeColor="text1"/>
        </w:rPr>
        <w:t xml:space="preserve"> </w:t>
      </w:r>
      <w:r w:rsidR="000E24E2">
        <w:rPr>
          <w:rFonts w:cs="Arial"/>
          <w:color w:val="000000" w:themeColor="text1"/>
        </w:rPr>
        <w:t>99,92</w:t>
      </w:r>
      <w:r w:rsidR="004051A0" w:rsidRPr="00CA357C">
        <w:rPr>
          <w:rFonts w:cs="Arial"/>
          <w:color w:val="000000" w:themeColor="text1"/>
        </w:rPr>
        <w:t xml:space="preserve"> % u odnosu na tekući plan za 2023. i veći su za </w:t>
      </w:r>
      <w:r w:rsidR="00A72EDF">
        <w:rPr>
          <w:rFonts w:cs="Arial"/>
          <w:color w:val="000000" w:themeColor="text1"/>
        </w:rPr>
        <w:t>575.654,78</w:t>
      </w:r>
      <w:r w:rsidR="004051A0" w:rsidRPr="00CA357C">
        <w:rPr>
          <w:rFonts w:cs="Arial"/>
          <w:color w:val="000000" w:themeColor="text1"/>
        </w:rPr>
        <w:t xml:space="preserve"> </w:t>
      </w:r>
      <w:r w:rsidR="00872506">
        <w:rPr>
          <w:rFonts w:cs="Arial"/>
          <w:color w:val="000000" w:themeColor="text1"/>
        </w:rPr>
        <w:t>eura</w:t>
      </w:r>
      <w:r w:rsidR="004051A0" w:rsidRPr="00CA357C">
        <w:rPr>
          <w:rFonts w:cs="Arial"/>
          <w:color w:val="000000" w:themeColor="text1"/>
        </w:rPr>
        <w:t xml:space="preserve"> u odnosu na prethodno izvještajno razdoblje</w:t>
      </w:r>
      <w:r w:rsidR="00EF2FF9">
        <w:rPr>
          <w:rFonts w:cs="Arial"/>
          <w:color w:val="000000" w:themeColor="text1"/>
        </w:rPr>
        <w:t xml:space="preserve">. </w:t>
      </w:r>
      <w:r w:rsidR="00EF2FF9" w:rsidRPr="00F92847">
        <w:rPr>
          <w:rFonts w:cs="Arial"/>
          <w:color w:val="000000" w:themeColor="text1"/>
        </w:rPr>
        <w:t xml:space="preserve">Navedeni rashodi financirani su </w:t>
      </w:r>
      <w:r w:rsidR="008B6652" w:rsidRPr="00F92847">
        <w:rPr>
          <w:rFonts w:cs="Arial"/>
          <w:color w:val="000000" w:themeColor="text1"/>
        </w:rPr>
        <w:t xml:space="preserve">iz prihoda nadležnog proračuna za </w:t>
      </w:r>
      <w:r w:rsidR="00F92847" w:rsidRPr="00F92847">
        <w:rPr>
          <w:rFonts w:cs="Arial"/>
          <w:color w:val="000000" w:themeColor="text1"/>
        </w:rPr>
        <w:t>financiranje rashoda poslovanja i prihoda od pruženih usluga.</w:t>
      </w:r>
      <w:r w:rsidR="008B6652" w:rsidRPr="00F92847">
        <w:rPr>
          <w:rFonts w:cs="Arial"/>
          <w:color w:val="000000" w:themeColor="text1"/>
        </w:rPr>
        <w:t xml:space="preserve"> </w:t>
      </w:r>
      <w:r w:rsidR="00F92847" w:rsidRPr="00F92847">
        <w:rPr>
          <w:rFonts w:cs="Arial"/>
          <w:color w:val="000000" w:themeColor="text1"/>
        </w:rPr>
        <w:t xml:space="preserve">Vrijednosno značajnije </w:t>
      </w:r>
      <w:r w:rsidR="00E875A2" w:rsidRPr="00F92847">
        <w:rPr>
          <w:rFonts w:cs="Arial"/>
          <w:color w:val="000000" w:themeColor="text1"/>
        </w:rPr>
        <w:t xml:space="preserve">povećanje </w:t>
      </w:r>
      <w:r w:rsidR="00E84D66" w:rsidRPr="00F92847">
        <w:rPr>
          <w:rFonts w:cs="Arial"/>
        </w:rPr>
        <w:t>u odnosu na prethodno razdoblje</w:t>
      </w:r>
      <w:r w:rsidR="00E84D66" w:rsidRPr="00F92847">
        <w:rPr>
          <w:rFonts w:cs="Arial"/>
          <w:color w:val="FF0000"/>
        </w:rPr>
        <w:t xml:space="preserve"> </w:t>
      </w:r>
      <w:r w:rsidR="00E875A2" w:rsidRPr="00F92847">
        <w:rPr>
          <w:rFonts w:cs="Arial"/>
          <w:color w:val="000000" w:themeColor="text1"/>
        </w:rPr>
        <w:t xml:space="preserve">odnosi se na </w:t>
      </w:r>
      <w:r w:rsidR="0002476B" w:rsidRPr="00F92847">
        <w:rPr>
          <w:rFonts w:cs="Arial"/>
          <w:color w:val="000000" w:themeColor="text1"/>
        </w:rPr>
        <w:t xml:space="preserve">povećanje </w:t>
      </w:r>
      <w:r w:rsidR="00981E22" w:rsidRPr="00F92847">
        <w:rPr>
          <w:rFonts w:cs="Arial"/>
          <w:color w:val="000000" w:themeColor="text1"/>
        </w:rPr>
        <w:t>rashoda za zaposlene, a sve prema</w:t>
      </w:r>
      <w:r w:rsidR="0002476B" w:rsidRPr="00F92847">
        <w:rPr>
          <w:rFonts w:cs="Arial"/>
          <w:color w:val="000000" w:themeColor="text1"/>
        </w:rPr>
        <w:t xml:space="preserve"> Dodatku I. Kolektivnom ugovoru za državne službenike </w:t>
      </w:r>
      <w:r w:rsidR="0002476B" w:rsidRPr="00F92847">
        <w:rPr>
          <w:rFonts w:cs="Arial"/>
          <w:color w:val="000000" w:themeColor="text1"/>
        </w:rPr>
        <w:lastRenderedPageBreak/>
        <w:t>i namještenike (Narodne novine 127/22)</w:t>
      </w:r>
      <w:r w:rsidR="00981E22" w:rsidRPr="00F92847">
        <w:rPr>
          <w:rFonts w:cs="Arial"/>
          <w:color w:val="000000" w:themeColor="text1"/>
        </w:rPr>
        <w:t>, Odluci Vlade o isplati privremenog dodataka na plaću državnim službenicima i namještenicima i službenicima i namještenicima u javnim službam</w:t>
      </w:r>
      <w:r w:rsidR="00770E34">
        <w:rPr>
          <w:rFonts w:cs="Arial"/>
          <w:color w:val="000000" w:themeColor="text1"/>
        </w:rPr>
        <w:t>a (Narodne novine 65/23), Odluci</w:t>
      </w:r>
      <w:r w:rsidR="00981E22" w:rsidRPr="00F92847">
        <w:rPr>
          <w:rFonts w:cs="Arial"/>
          <w:color w:val="000000" w:themeColor="text1"/>
        </w:rPr>
        <w:t xml:space="preserve"> Vlade o isplati dodatka na plaću državnim službenicima i namještenicima (Narodne novina 97/23), Dodatku III. K</w:t>
      </w:r>
      <w:r w:rsidR="00F4394A" w:rsidRPr="00F92847">
        <w:rPr>
          <w:rFonts w:cs="Arial"/>
          <w:color w:val="000000" w:themeColor="text1"/>
        </w:rPr>
        <w:t>olektivnom ugovoru</w:t>
      </w:r>
      <w:r w:rsidR="00981E22" w:rsidRPr="00F92847">
        <w:rPr>
          <w:rFonts w:cs="Arial"/>
          <w:color w:val="000000" w:themeColor="text1"/>
        </w:rPr>
        <w:t xml:space="preserve"> za državne službenike i namještenike (Narodne novine 128/23)</w:t>
      </w:r>
      <w:r w:rsidR="0002476B" w:rsidRPr="00F92847">
        <w:rPr>
          <w:rFonts w:cs="Arial"/>
          <w:color w:val="000000" w:themeColor="text1"/>
        </w:rPr>
        <w:t xml:space="preserve"> te zapošljavanje državnih službenika.</w:t>
      </w:r>
      <w:r w:rsidR="0002476B" w:rsidRPr="0002476B">
        <w:rPr>
          <w:rFonts w:cs="Arial"/>
          <w:color w:val="000000" w:themeColor="text1"/>
        </w:rPr>
        <w:t xml:space="preserve"> </w:t>
      </w:r>
    </w:p>
    <w:p w14:paraId="05E150C2" w14:textId="7FE3C7E5" w:rsidR="00380BCD" w:rsidRDefault="007E368A" w:rsidP="007D7F5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sidRPr="00CA357C">
        <w:rPr>
          <w:rFonts w:cs="Arial"/>
          <w:color w:val="000000" w:themeColor="text1"/>
        </w:rPr>
        <w:t xml:space="preserve"> </w:t>
      </w:r>
      <w:r w:rsidR="00B84646">
        <w:rPr>
          <w:rFonts w:cs="Arial"/>
          <w:color w:val="000000" w:themeColor="text1"/>
        </w:rPr>
        <w:tab/>
      </w:r>
      <w:r w:rsidR="00EF6A31" w:rsidRPr="00CA357C">
        <w:rPr>
          <w:rFonts w:cs="Arial"/>
          <w:color w:val="000000" w:themeColor="text1"/>
        </w:rPr>
        <w:t>I</w:t>
      </w:r>
      <w:r w:rsidR="001A10C8" w:rsidRPr="00CA357C">
        <w:rPr>
          <w:rFonts w:cs="Arial"/>
          <w:color w:val="000000" w:themeColor="text1"/>
        </w:rPr>
        <w:t>zvrš</w:t>
      </w:r>
      <w:r w:rsidR="00644C22">
        <w:rPr>
          <w:rFonts w:cs="Arial"/>
          <w:color w:val="000000" w:themeColor="text1"/>
        </w:rPr>
        <w:t>enje materijalnih rashoda iznosi</w:t>
      </w:r>
      <w:r w:rsidR="001A10C8" w:rsidRPr="00CA357C">
        <w:rPr>
          <w:rFonts w:cs="Arial"/>
          <w:color w:val="000000" w:themeColor="text1"/>
        </w:rPr>
        <w:t xml:space="preserve"> </w:t>
      </w:r>
      <w:r w:rsidR="008471BB">
        <w:rPr>
          <w:rFonts w:cs="Arial"/>
          <w:color w:val="000000" w:themeColor="text1"/>
        </w:rPr>
        <w:t>1.631.430,67</w:t>
      </w:r>
      <w:r w:rsidR="001A10C8" w:rsidRPr="00CA357C">
        <w:rPr>
          <w:rFonts w:cs="Arial"/>
          <w:color w:val="000000" w:themeColor="text1"/>
        </w:rPr>
        <w:t xml:space="preserve"> </w:t>
      </w:r>
      <w:r w:rsidR="00872506">
        <w:rPr>
          <w:rFonts w:cs="Arial"/>
          <w:color w:val="000000" w:themeColor="text1"/>
        </w:rPr>
        <w:t>eura</w:t>
      </w:r>
      <w:r w:rsidR="001A10C8" w:rsidRPr="00CA357C">
        <w:rPr>
          <w:rFonts w:cs="Arial"/>
          <w:color w:val="000000" w:themeColor="text1"/>
        </w:rPr>
        <w:t xml:space="preserve"> ili </w:t>
      </w:r>
      <w:r w:rsidR="008471BB">
        <w:rPr>
          <w:rFonts w:cs="Arial"/>
          <w:color w:val="000000" w:themeColor="text1"/>
        </w:rPr>
        <w:t>91,72</w:t>
      </w:r>
      <w:r w:rsidR="001A10C8" w:rsidRPr="00CA357C">
        <w:rPr>
          <w:rFonts w:cs="Arial"/>
          <w:color w:val="000000" w:themeColor="text1"/>
        </w:rPr>
        <w:t xml:space="preserve"> % u odnosu na tekući plan za 2023. i manji su za </w:t>
      </w:r>
      <w:r w:rsidR="008471BB">
        <w:rPr>
          <w:rFonts w:cs="Arial"/>
          <w:color w:val="000000" w:themeColor="text1"/>
        </w:rPr>
        <w:t>246.010,42</w:t>
      </w:r>
      <w:r w:rsidR="001A10C8" w:rsidRPr="00CA357C">
        <w:rPr>
          <w:rFonts w:cs="Arial"/>
          <w:color w:val="000000" w:themeColor="text1"/>
        </w:rPr>
        <w:t xml:space="preserve"> </w:t>
      </w:r>
      <w:r w:rsidR="00872506">
        <w:rPr>
          <w:rFonts w:cs="Arial"/>
          <w:color w:val="000000" w:themeColor="text1"/>
        </w:rPr>
        <w:t>eura</w:t>
      </w:r>
      <w:r w:rsidR="001A10C8" w:rsidRPr="00CA357C">
        <w:rPr>
          <w:rFonts w:cs="Arial"/>
          <w:color w:val="000000" w:themeColor="text1"/>
        </w:rPr>
        <w:t xml:space="preserve"> u odnosu na prethodno izvještajno razdoblje koji su financirani </w:t>
      </w:r>
      <w:r w:rsidR="005F0E84" w:rsidRPr="00CA357C">
        <w:rPr>
          <w:rFonts w:cs="Arial"/>
          <w:color w:val="000000" w:themeColor="text1"/>
        </w:rPr>
        <w:t>iz</w:t>
      </w:r>
      <w:r w:rsidR="005F0E84" w:rsidRPr="00CA357C">
        <w:rPr>
          <w:rFonts w:cs="Arial"/>
          <w:i/>
          <w:color w:val="000000" w:themeColor="text1"/>
        </w:rPr>
        <w:t xml:space="preserve"> </w:t>
      </w:r>
      <w:r w:rsidR="005F0E84" w:rsidRPr="00CA357C">
        <w:rPr>
          <w:rFonts w:cs="Arial"/>
          <w:color w:val="000000" w:themeColor="text1"/>
        </w:rPr>
        <w:t xml:space="preserve">prihoda iz nadležnog proračuna za financiranje rashoda poslovanja u iznosu </w:t>
      </w:r>
      <w:r w:rsidR="00A00C64">
        <w:rPr>
          <w:rFonts w:cs="Arial"/>
          <w:color w:val="000000" w:themeColor="text1"/>
        </w:rPr>
        <w:t xml:space="preserve">od </w:t>
      </w:r>
      <w:r w:rsidR="004A3760">
        <w:rPr>
          <w:rFonts w:cs="Arial"/>
          <w:color w:val="000000" w:themeColor="text1"/>
        </w:rPr>
        <w:t>1.536.272,59</w:t>
      </w:r>
      <w:r w:rsidR="005F0E84" w:rsidRPr="00CA357C">
        <w:rPr>
          <w:rFonts w:cs="Arial"/>
          <w:color w:val="000000" w:themeColor="text1"/>
        </w:rPr>
        <w:t xml:space="preserve"> </w:t>
      </w:r>
      <w:r w:rsidR="00872506">
        <w:rPr>
          <w:rFonts w:cs="Arial"/>
          <w:color w:val="000000" w:themeColor="text1"/>
        </w:rPr>
        <w:t>eura</w:t>
      </w:r>
      <w:r w:rsidR="002A194D">
        <w:rPr>
          <w:rFonts w:cs="Arial"/>
          <w:color w:val="000000" w:themeColor="text1"/>
        </w:rPr>
        <w:t xml:space="preserve"> i</w:t>
      </w:r>
      <w:r w:rsidR="008471BB">
        <w:rPr>
          <w:rFonts w:cs="Arial"/>
          <w:color w:val="000000" w:themeColor="text1"/>
        </w:rPr>
        <w:t xml:space="preserve"> prihoda od pruženih usluga u iznosu od </w:t>
      </w:r>
      <w:r w:rsidR="00D64D64">
        <w:rPr>
          <w:rFonts w:cs="Arial"/>
          <w:color w:val="000000" w:themeColor="text1"/>
        </w:rPr>
        <w:t>95.158,08</w:t>
      </w:r>
      <w:r w:rsidR="008471BB">
        <w:rPr>
          <w:rFonts w:cs="Arial"/>
          <w:color w:val="000000" w:themeColor="text1"/>
        </w:rPr>
        <w:t xml:space="preserve"> </w:t>
      </w:r>
      <w:r w:rsidR="00872506">
        <w:rPr>
          <w:rFonts w:cs="Arial"/>
          <w:color w:val="000000" w:themeColor="text1"/>
        </w:rPr>
        <w:t>eura</w:t>
      </w:r>
      <w:r w:rsidR="00AE1159" w:rsidRPr="00CA357C">
        <w:rPr>
          <w:rFonts w:cs="Arial"/>
          <w:color w:val="000000" w:themeColor="text1"/>
        </w:rPr>
        <w:t xml:space="preserve">. </w:t>
      </w:r>
      <w:r w:rsidR="005F0E84" w:rsidRPr="00CA357C">
        <w:rPr>
          <w:rFonts w:cs="Arial"/>
          <w:color w:val="000000" w:themeColor="text1"/>
        </w:rPr>
        <w:t xml:space="preserve"> </w:t>
      </w:r>
      <w:r w:rsidR="007D7F5E">
        <w:rPr>
          <w:rFonts w:cs="Arial"/>
          <w:color w:val="000000" w:themeColor="text1"/>
        </w:rPr>
        <w:t xml:space="preserve">Navedeno </w:t>
      </w:r>
      <w:r w:rsidR="001405DC">
        <w:rPr>
          <w:rFonts w:cs="Arial"/>
          <w:color w:val="000000" w:themeColor="text1"/>
        </w:rPr>
        <w:t>smanjenje u značajnijem dijelu odnosi se na rashode z</w:t>
      </w:r>
      <w:r w:rsidR="007D7F5E">
        <w:rPr>
          <w:rFonts w:cs="Arial"/>
          <w:color w:val="000000" w:themeColor="text1"/>
        </w:rPr>
        <w:t>a intelektualne i osobne usluge</w:t>
      </w:r>
      <w:r w:rsidR="00D613C1">
        <w:rPr>
          <w:rFonts w:cs="Arial"/>
          <w:color w:val="000000" w:themeColor="text1"/>
        </w:rPr>
        <w:t xml:space="preserve"> </w:t>
      </w:r>
      <w:r w:rsidR="00F23645">
        <w:rPr>
          <w:rFonts w:cs="Arial"/>
          <w:color w:val="000000" w:themeColor="text1"/>
        </w:rPr>
        <w:t>za</w:t>
      </w:r>
      <w:r w:rsidR="00D613C1">
        <w:rPr>
          <w:rFonts w:cs="Arial"/>
          <w:color w:val="000000" w:themeColor="text1"/>
        </w:rPr>
        <w:t xml:space="preserve"> </w:t>
      </w:r>
      <w:r w:rsidR="002C4E18">
        <w:rPr>
          <w:rFonts w:cs="Arial"/>
          <w:color w:val="000000" w:themeColor="text1"/>
        </w:rPr>
        <w:t>411.510,16</w:t>
      </w:r>
      <w:r w:rsidR="00D613C1">
        <w:rPr>
          <w:rFonts w:cs="Arial"/>
          <w:color w:val="000000" w:themeColor="text1"/>
        </w:rPr>
        <w:t xml:space="preserve"> </w:t>
      </w:r>
      <w:r w:rsidR="00872506">
        <w:rPr>
          <w:rFonts w:cs="Arial"/>
          <w:color w:val="000000" w:themeColor="text1"/>
        </w:rPr>
        <w:t>eura</w:t>
      </w:r>
      <w:r w:rsidR="002C4E18">
        <w:rPr>
          <w:rFonts w:cs="Arial"/>
          <w:color w:val="000000" w:themeColor="text1"/>
        </w:rPr>
        <w:t xml:space="preserve">, </w:t>
      </w:r>
      <w:r w:rsidR="007D7F5E">
        <w:rPr>
          <w:rFonts w:cs="Arial"/>
          <w:color w:val="000000" w:themeColor="text1"/>
        </w:rPr>
        <w:t>rashode za službena putovanja</w:t>
      </w:r>
      <w:r w:rsidR="00D613C1">
        <w:rPr>
          <w:rFonts w:cs="Arial"/>
          <w:color w:val="000000" w:themeColor="text1"/>
        </w:rPr>
        <w:t xml:space="preserve"> </w:t>
      </w:r>
      <w:r w:rsidR="00F23645">
        <w:rPr>
          <w:rFonts w:cs="Arial"/>
          <w:color w:val="000000" w:themeColor="text1"/>
        </w:rPr>
        <w:t>za</w:t>
      </w:r>
      <w:r w:rsidR="00D613C1">
        <w:rPr>
          <w:rFonts w:cs="Arial"/>
          <w:color w:val="000000" w:themeColor="text1"/>
        </w:rPr>
        <w:t xml:space="preserve"> </w:t>
      </w:r>
      <w:r w:rsidR="002C4E18">
        <w:rPr>
          <w:rFonts w:cs="Arial"/>
          <w:color w:val="000000" w:themeColor="text1"/>
        </w:rPr>
        <w:t>35.312,63</w:t>
      </w:r>
      <w:r w:rsidR="00D613C1">
        <w:rPr>
          <w:rFonts w:cs="Arial"/>
          <w:color w:val="000000" w:themeColor="text1"/>
        </w:rPr>
        <w:t xml:space="preserve"> </w:t>
      </w:r>
      <w:r w:rsidR="00872506">
        <w:rPr>
          <w:rFonts w:cs="Arial"/>
          <w:color w:val="000000" w:themeColor="text1"/>
        </w:rPr>
        <w:t>eura</w:t>
      </w:r>
      <w:r w:rsidR="002C4E18">
        <w:rPr>
          <w:rFonts w:cs="Arial"/>
          <w:color w:val="000000" w:themeColor="text1"/>
        </w:rPr>
        <w:t xml:space="preserve">, naknade troškova osobama izvan radnog odnosa </w:t>
      </w:r>
      <w:r w:rsidR="00602ED8">
        <w:rPr>
          <w:rFonts w:cs="Arial"/>
          <w:color w:val="000000" w:themeColor="text1"/>
        </w:rPr>
        <w:t>za</w:t>
      </w:r>
      <w:r w:rsidR="002C4E18">
        <w:rPr>
          <w:rFonts w:cs="Arial"/>
          <w:color w:val="000000" w:themeColor="text1"/>
        </w:rPr>
        <w:t xml:space="preserve"> 105.650,10 </w:t>
      </w:r>
      <w:r w:rsidR="00872506">
        <w:rPr>
          <w:rFonts w:cs="Arial"/>
          <w:color w:val="000000" w:themeColor="text1"/>
        </w:rPr>
        <w:t>eura</w:t>
      </w:r>
      <w:r w:rsidR="002C4E18">
        <w:rPr>
          <w:rFonts w:cs="Arial"/>
          <w:color w:val="000000" w:themeColor="text1"/>
        </w:rPr>
        <w:t xml:space="preserve"> te usluge promidžbe i informiranja </w:t>
      </w:r>
      <w:r w:rsidR="00602ED8">
        <w:rPr>
          <w:rFonts w:cs="Arial"/>
          <w:color w:val="000000" w:themeColor="text1"/>
        </w:rPr>
        <w:t xml:space="preserve">za </w:t>
      </w:r>
      <w:r w:rsidR="002C4E18">
        <w:rPr>
          <w:rFonts w:cs="Arial"/>
          <w:color w:val="000000" w:themeColor="text1"/>
        </w:rPr>
        <w:t xml:space="preserve">13.893,99 </w:t>
      </w:r>
      <w:r w:rsidR="00872506">
        <w:rPr>
          <w:rFonts w:cs="Arial"/>
          <w:color w:val="000000" w:themeColor="text1"/>
        </w:rPr>
        <w:t>eura</w:t>
      </w:r>
      <w:r w:rsidR="007D7F5E">
        <w:rPr>
          <w:rFonts w:cs="Arial"/>
          <w:color w:val="000000" w:themeColor="text1"/>
        </w:rPr>
        <w:t xml:space="preserve"> zbog završetka provedbe</w:t>
      </w:r>
      <w:r w:rsidR="0059759E">
        <w:rPr>
          <w:rFonts w:cs="Arial"/>
          <w:color w:val="000000" w:themeColor="text1"/>
        </w:rPr>
        <w:t xml:space="preserve"> Twinning projekta „Unapr</w:t>
      </w:r>
      <w:r w:rsidR="007D7F5E" w:rsidRPr="007D7F5E">
        <w:rPr>
          <w:rFonts w:cs="Arial"/>
          <w:color w:val="000000" w:themeColor="text1"/>
        </w:rPr>
        <w:t>eđenje vanjske revizije i parlamentarnog nadzora</w:t>
      </w:r>
      <w:r w:rsidR="00A00C64">
        <w:rPr>
          <w:rFonts w:cs="Arial"/>
          <w:color w:val="000000" w:themeColor="text1"/>
        </w:rPr>
        <w:t>”</w:t>
      </w:r>
      <w:r w:rsidR="007D7F5E" w:rsidRPr="007D7F5E">
        <w:rPr>
          <w:rFonts w:cs="Arial"/>
          <w:color w:val="000000" w:themeColor="text1"/>
        </w:rPr>
        <w:t xml:space="preserve"> u Republici Sjevernoj Makedoniji u listopadu 2022.</w:t>
      </w:r>
      <w:r w:rsidR="001405DC">
        <w:rPr>
          <w:rFonts w:cs="Arial"/>
          <w:color w:val="000000" w:themeColor="text1"/>
        </w:rPr>
        <w:t xml:space="preserve"> </w:t>
      </w:r>
      <w:r w:rsidR="002C4E18">
        <w:rPr>
          <w:rFonts w:cs="Arial"/>
          <w:color w:val="000000" w:themeColor="text1"/>
        </w:rPr>
        <w:t xml:space="preserve">Nadalje, </w:t>
      </w:r>
      <w:r w:rsidR="00E84D66">
        <w:rPr>
          <w:rFonts w:cs="Arial"/>
          <w:color w:val="000000" w:themeColor="text1"/>
        </w:rPr>
        <w:t>smanjeni su i</w:t>
      </w:r>
      <w:r w:rsidR="002C4E18">
        <w:rPr>
          <w:rFonts w:cs="Arial"/>
          <w:color w:val="000000" w:themeColor="text1"/>
        </w:rPr>
        <w:t xml:space="preserve"> rashodi za energiju </w:t>
      </w:r>
      <w:r w:rsidR="00602ED8">
        <w:rPr>
          <w:rFonts w:cs="Arial"/>
          <w:color w:val="000000" w:themeColor="text1"/>
        </w:rPr>
        <w:t>za</w:t>
      </w:r>
      <w:r w:rsidR="002C4E18">
        <w:rPr>
          <w:rFonts w:cs="Arial"/>
          <w:color w:val="000000" w:themeColor="text1"/>
        </w:rPr>
        <w:t xml:space="preserve"> 28.773,09 </w:t>
      </w:r>
      <w:r w:rsidR="00872506">
        <w:rPr>
          <w:rFonts w:cs="Arial"/>
          <w:color w:val="000000" w:themeColor="text1"/>
        </w:rPr>
        <w:t>eura</w:t>
      </w:r>
      <w:r w:rsidR="002C4E18">
        <w:rPr>
          <w:rFonts w:cs="Arial"/>
          <w:color w:val="000000" w:themeColor="text1"/>
        </w:rPr>
        <w:t xml:space="preserve"> </w:t>
      </w:r>
      <w:r w:rsidR="002C4E18" w:rsidRPr="002C4E18">
        <w:rPr>
          <w:rFonts w:cs="Arial"/>
          <w:color w:val="000000" w:themeColor="text1"/>
        </w:rPr>
        <w:t>zbog privremene Uredbe Vlade Republike Hrvatske o otklanjanju poremećaja na domaćem tržištu energije (Narodne novine 31/23), kojom je definirana niža cijena od tržišne cijene.</w:t>
      </w:r>
      <w:r w:rsidR="00D64E0F">
        <w:rPr>
          <w:rFonts w:cs="Arial"/>
          <w:color w:val="000000" w:themeColor="text1"/>
        </w:rPr>
        <w:t xml:space="preserve"> Smanjeni su i rashodi za usluge tekućeg i investicijskog održavanja </w:t>
      </w:r>
      <w:r w:rsidR="00602ED8">
        <w:rPr>
          <w:rFonts w:cs="Arial"/>
          <w:color w:val="000000" w:themeColor="text1"/>
        </w:rPr>
        <w:t>za</w:t>
      </w:r>
      <w:r w:rsidR="00D64E0F">
        <w:rPr>
          <w:rFonts w:cs="Arial"/>
          <w:color w:val="000000" w:themeColor="text1"/>
        </w:rPr>
        <w:t xml:space="preserve"> 86.631,76 </w:t>
      </w:r>
      <w:r w:rsidR="00ED5700">
        <w:rPr>
          <w:rFonts w:cs="Arial"/>
          <w:color w:val="000000" w:themeColor="text1"/>
        </w:rPr>
        <w:t>eura</w:t>
      </w:r>
      <w:r w:rsidR="002C4E18" w:rsidRPr="002C4E18">
        <w:rPr>
          <w:rFonts w:cs="Arial"/>
          <w:color w:val="000000" w:themeColor="text1"/>
        </w:rPr>
        <w:t xml:space="preserve"> </w:t>
      </w:r>
      <w:r w:rsidR="00770E34">
        <w:rPr>
          <w:rFonts w:cs="Arial"/>
          <w:color w:val="000000" w:themeColor="text1"/>
        </w:rPr>
        <w:t>zato</w:t>
      </w:r>
      <w:r w:rsidR="007318D1" w:rsidRPr="007318D1">
        <w:rPr>
          <w:rFonts w:cs="Arial"/>
          <w:color w:val="000000" w:themeColor="text1"/>
        </w:rPr>
        <w:t xml:space="preserve"> što su se u 2022. obnovili</w:t>
      </w:r>
      <w:r w:rsidR="00770E34">
        <w:rPr>
          <w:rFonts w:cs="Arial"/>
          <w:color w:val="000000" w:themeColor="text1"/>
        </w:rPr>
        <w:t xml:space="preserve"> dotrajali poslovni prostori u područnim uredima</w:t>
      </w:r>
      <w:r w:rsidR="007318D1" w:rsidRPr="007318D1">
        <w:rPr>
          <w:rFonts w:cs="Arial"/>
          <w:color w:val="000000" w:themeColor="text1"/>
        </w:rPr>
        <w:t xml:space="preserve"> Karlovac i Krapina te sufinancirali troškovi rekonstrukcije kotlovnice i rashladne stanice i zamjena </w:t>
      </w:r>
      <w:proofErr w:type="spellStart"/>
      <w:r w:rsidR="007318D1" w:rsidRPr="007318D1">
        <w:rPr>
          <w:rFonts w:cs="Arial"/>
          <w:color w:val="000000" w:themeColor="text1"/>
        </w:rPr>
        <w:t>ventilkonvektora</w:t>
      </w:r>
      <w:proofErr w:type="spellEnd"/>
      <w:r w:rsidR="007318D1" w:rsidRPr="007318D1">
        <w:rPr>
          <w:rFonts w:cs="Arial"/>
          <w:color w:val="000000" w:themeColor="text1"/>
        </w:rPr>
        <w:t xml:space="preserve"> prema sklopljenom Ugovoru između FINA-e i Ureda, Klasa: 406-01/22-01/1, </w:t>
      </w:r>
      <w:proofErr w:type="spellStart"/>
      <w:r w:rsidR="007318D1" w:rsidRPr="007318D1">
        <w:rPr>
          <w:rFonts w:cs="Arial"/>
          <w:color w:val="000000" w:themeColor="text1"/>
        </w:rPr>
        <w:t>Urbroj</w:t>
      </w:r>
      <w:proofErr w:type="spellEnd"/>
      <w:r w:rsidR="007318D1" w:rsidRPr="007318D1">
        <w:rPr>
          <w:rFonts w:cs="Arial"/>
          <w:color w:val="000000" w:themeColor="text1"/>
        </w:rPr>
        <w:t>: 613-01-01-22-2, od 31. svibnja 2022</w:t>
      </w:r>
      <w:r w:rsidR="007318D1">
        <w:rPr>
          <w:rFonts w:cs="Arial"/>
          <w:color w:val="000000" w:themeColor="text1"/>
        </w:rPr>
        <w:t xml:space="preserve">. </w:t>
      </w:r>
    </w:p>
    <w:p w14:paraId="2C4036BF" w14:textId="13E849D2" w:rsidR="007D7F5E" w:rsidRPr="007D7F5E" w:rsidRDefault="00950347" w:rsidP="007D7F5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7318D1">
        <w:rPr>
          <w:rFonts w:cs="Arial"/>
          <w:color w:val="000000" w:themeColor="text1"/>
        </w:rPr>
        <w:t>T</w:t>
      </w:r>
      <w:r w:rsidR="001405DC">
        <w:rPr>
          <w:rFonts w:cs="Arial"/>
          <w:color w:val="000000" w:themeColor="text1"/>
        </w:rPr>
        <w:t xml:space="preserve">akođer, u okviru materijalnih rashoda </w:t>
      </w:r>
      <w:r w:rsidR="00A750E8">
        <w:rPr>
          <w:rFonts w:cs="Arial"/>
          <w:color w:val="000000" w:themeColor="text1"/>
        </w:rPr>
        <w:t>p</w:t>
      </w:r>
      <w:r w:rsidR="00FA0CDC">
        <w:rPr>
          <w:rFonts w:cs="Arial"/>
        </w:rPr>
        <w:t>ovećani su r</w:t>
      </w:r>
      <w:r w:rsidR="00FA0CDC">
        <w:rPr>
          <w:rFonts w:cs="Arial"/>
          <w:color w:val="000000" w:themeColor="text1"/>
        </w:rPr>
        <w:t>ashodi</w:t>
      </w:r>
      <w:r w:rsidR="00FA0CDC" w:rsidRPr="00FA0CDC">
        <w:rPr>
          <w:rFonts w:cs="Arial"/>
          <w:color w:val="000000" w:themeColor="text1"/>
        </w:rPr>
        <w:t xml:space="preserve"> za usluge telefona, pošte i prijevoza</w:t>
      </w:r>
      <w:r w:rsidR="00FA0CDC">
        <w:rPr>
          <w:rFonts w:cs="Arial"/>
          <w:color w:val="000000" w:themeColor="text1"/>
        </w:rPr>
        <w:t xml:space="preserve"> </w:t>
      </w:r>
      <w:r w:rsidR="00602ED8">
        <w:rPr>
          <w:rFonts w:cs="Arial"/>
          <w:color w:val="000000" w:themeColor="text1"/>
        </w:rPr>
        <w:t>za</w:t>
      </w:r>
      <w:r w:rsidR="00FA0CDC">
        <w:rPr>
          <w:rFonts w:cs="Arial"/>
          <w:color w:val="000000" w:themeColor="text1"/>
        </w:rPr>
        <w:t xml:space="preserve"> 33.729,72</w:t>
      </w:r>
      <w:r w:rsidR="00FA0CDC" w:rsidRPr="00FA0CDC">
        <w:rPr>
          <w:rFonts w:cs="Arial"/>
          <w:color w:val="000000" w:themeColor="text1"/>
        </w:rPr>
        <w:t xml:space="preserve"> </w:t>
      </w:r>
      <w:r w:rsidR="00872506">
        <w:rPr>
          <w:rFonts w:cs="Arial"/>
          <w:color w:val="000000" w:themeColor="text1"/>
        </w:rPr>
        <w:t>eura</w:t>
      </w:r>
      <w:r w:rsidR="00FA0CDC" w:rsidRPr="00FA0CDC">
        <w:rPr>
          <w:rFonts w:cs="Arial"/>
          <w:color w:val="000000" w:themeColor="text1"/>
        </w:rPr>
        <w:t xml:space="preserve"> zbog troškova prijevoza za sudjelovanje na godišnjem seminaru zaposlenika Ureda koji su financirani sredstvima ostvarenim provedbom Twinning projekta „Jačanje vanjske revizije i parlamentarnog nadzora, Sj</w:t>
      </w:r>
      <w:r w:rsidR="00561FB2">
        <w:rPr>
          <w:rFonts w:cs="Arial"/>
          <w:color w:val="000000" w:themeColor="text1"/>
        </w:rPr>
        <w:t>everna Makedonija” te</w:t>
      </w:r>
      <w:r w:rsidR="00737787">
        <w:rPr>
          <w:rFonts w:cs="Arial"/>
          <w:color w:val="000000" w:themeColor="text1"/>
        </w:rPr>
        <w:t xml:space="preserve"> rashodi za usluge Interneta zbog</w:t>
      </w:r>
      <w:r w:rsidR="00561FB2">
        <w:rPr>
          <w:rFonts w:cs="Arial"/>
          <w:color w:val="000000" w:themeColor="text1"/>
        </w:rPr>
        <w:t xml:space="preserve"> </w:t>
      </w:r>
      <w:r w:rsidR="00737787" w:rsidRPr="00737787">
        <w:rPr>
          <w:rFonts w:cs="Arial"/>
          <w:color w:val="000000" w:themeColor="text1"/>
        </w:rPr>
        <w:t xml:space="preserve">porasta cijene usluge. </w:t>
      </w:r>
      <w:r w:rsidR="00434FCD">
        <w:rPr>
          <w:rFonts w:cs="Arial"/>
          <w:color w:val="000000" w:themeColor="text1"/>
        </w:rPr>
        <w:t xml:space="preserve">Povećani su rashodi za komunalne usluge </w:t>
      </w:r>
      <w:r w:rsidR="00602ED8">
        <w:rPr>
          <w:rFonts w:cs="Arial"/>
          <w:color w:val="000000" w:themeColor="text1"/>
        </w:rPr>
        <w:t>za</w:t>
      </w:r>
      <w:r w:rsidR="00434FCD">
        <w:rPr>
          <w:rFonts w:cs="Arial"/>
          <w:color w:val="000000" w:themeColor="text1"/>
        </w:rPr>
        <w:t xml:space="preserve"> 9.226,43 </w:t>
      </w:r>
      <w:r w:rsidR="00872506">
        <w:rPr>
          <w:rFonts w:cs="Arial"/>
          <w:color w:val="000000" w:themeColor="text1"/>
        </w:rPr>
        <w:t>eura</w:t>
      </w:r>
      <w:r w:rsidR="00434FCD">
        <w:rPr>
          <w:rFonts w:cs="Arial"/>
          <w:color w:val="000000" w:themeColor="text1"/>
        </w:rPr>
        <w:t xml:space="preserve"> zbog hortikulturnog uređenja u Središnjem uredu i područnim uredima Dubrovnik i Gospić. Povećani su rashodi za zakupnine i najamnine </w:t>
      </w:r>
      <w:r w:rsidR="00602ED8">
        <w:rPr>
          <w:rFonts w:cs="Arial"/>
          <w:color w:val="000000" w:themeColor="text1"/>
        </w:rPr>
        <w:t>za</w:t>
      </w:r>
      <w:r w:rsidR="00434FCD">
        <w:rPr>
          <w:rFonts w:cs="Arial"/>
          <w:color w:val="000000" w:themeColor="text1"/>
        </w:rPr>
        <w:t xml:space="preserve"> 148.272,34 </w:t>
      </w:r>
      <w:r w:rsidR="00872506">
        <w:rPr>
          <w:rFonts w:cs="Arial"/>
          <w:color w:val="000000" w:themeColor="text1"/>
        </w:rPr>
        <w:t>eura</w:t>
      </w:r>
      <w:r w:rsidR="00434FCD">
        <w:rPr>
          <w:rFonts w:cs="Arial"/>
          <w:color w:val="000000" w:themeColor="text1"/>
        </w:rPr>
        <w:t xml:space="preserve"> </w:t>
      </w:r>
      <w:r w:rsidR="00434FCD" w:rsidRPr="00434FCD">
        <w:rPr>
          <w:rFonts w:cs="Arial"/>
          <w:color w:val="000000" w:themeColor="text1"/>
        </w:rPr>
        <w:t>zbog privremenog zakupa poslovnog prostora za smještaj svih zaposlenika u Središnjem uredu</w:t>
      </w:r>
      <w:r w:rsidR="000B4CE3">
        <w:rPr>
          <w:rFonts w:cs="Arial"/>
          <w:color w:val="000000" w:themeColor="text1"/>
        </w:rPr>
        <w:t xml:space="preserve"> i P</w:t>
      </w:r>
      <w:r w:rsidR="00434FCD">
        <w:rPr>
          <w:rFonts w:cs="Arial"/>
          <w:color w:val="000000" w:themeColor="text1"/>
        </w:rPr>
        <w:t>odručnom uredu Sisak</w:t>
      </w:r>
      <w:r w:rsidR="00434FCD" w:rsidRPr="00434FCD">
        <w:rPr>
          <w:rFonts w:cs="Arial"/>
          <w:color w:val="000000" w:themeColor="text1"/>
        </w:rPr>
        <w:t xml:space="preserve"> s obzirom na to da je u tijeku obnova zgrada u Zagrebu na lokaciji </w:t>
      </w:r>
      <w:proofErr w:type="spellStart"/>
      <w:r w:rsidR="00434FCD" w:rsidRPr="00434FCD">
        <w:rPr>
          <w:rFonts w:cs="Arial"/>
          <w:color w:val="000000" w:themeColor="text1"/>
        </w:rPr>
        <w:t>Tkalčićeva</w:t>
      </w:r>
      <w:proofErr w:type="spellEnd"/>
      <w:r w:rsidR="00434FCD" w:rsidRPr="00434FCD">
        <w:rPr>
          <w:rFonts w:cs="Arial"/>
          <w:color w:val="000000" w:themeColor="text1"/>
        </w:rPr>
        <w:t xml:space="preserve"> 19 i </w:t>
      </w:r>
      <w:proofErr w:type="spellStart"/>
      <w:r w:rsidR="00434FCD" w:rsidRPr="00434FCD">
        <w:rPr>
          <w:rFonts w:cs="Arial"/>
          <w:color w:val="000000" w:themeColor="text1"/>
        </w:rPr>
        <w:t>Bogovićeva</w:t>
      </w:r>
      <w:proofErr w:type="spellEnd"/>
      <w:r w:rsidR="00434FCD" w:rsidRPr="00434FCD">
        <w:rPr>
          <w:rFonts w:cs="Arial"/>
          <w:color w:val="000000" w:themeColor="text1"/>
        </w:rPr>
        <w:t xml:space="preserve"> 1a</w:t>
      </w:r>
      <w:r w:rsidR="00434FCD" w:rsidRPr="00434FCD">
        <w:rPr>
          <w:rFonts w:cs="Arial"/>
        </w:rPr>
        <w:t xml:space="preserve"> </w:t>
      </w:r>
      <w:r w:rsidR="00434FCD" w:rsidRPr="00434FCD">
        <w:rPr>
          <w:rFonts w:cs="Arial"/>
          <w:color w:val="000000" w:themeColor="text1"/>
        </w:rPr>
        <w:t xml:space="preserve">te u Sisku na lokaciji I. K. </w:t>
      </w:r>
      <w:proofErr w:type="spellStart"/>
      <w:r w:rsidR="00434FCD" w:rsidRPr="00434FCD">
        <w:rPr>
          <w:rFonts w:cs="Arial"/>
          <w:color w:val="000000" w:themeColor="text1"/>
        </w:rPr>
        <w:t>Sakcinskog</w:t>
      </w:r>
      <w:proofErr w:type="spellEnd"/>
      <w:r w:rsidR="00434FCD" w:rsidRPr="00434FCD">
        <w:rPr>
          <w:rFonts w:cs="Arial"/>
          <w:color w:val="000000" w:themeColor="text1"/>
        </w:rPr>
        <w:t xml:space="preserve"> 1</w:t>
      </w:r>
      <w:r w:rsidR="00434FCD">
        <w:rPr>
          <w:rFonts w:cs="Arial"/>
          <w:color w:val="000000" w:themeColor="text1"/>
        </w:rPr>
        <w:t>.</w:t>
      </w:r>
      <w:r w:rsidR="00C434F8">
        <w:rPr>
          <w:rFonts w:cs="Arial"/>
          <w:color w:val="000000" w:themeColor="text1"/>
        </w:rPr>
        <w:t xml:space="preserve"> Također, povećani su rashodi za zdravstvene i veterinarske usluge </w:t>
      </w:r>
      <w:r w:rsidR="00602ED8">
        <w:rPr>
          <w:rFonts w:cs="Arial"/>
          <w:color w:val="000000" w:themeColor="text1"/>
        </w:rPr>
        <w:t>za</w:t>
      </w:r>
      <w:r w:rsidR="00C434F8">
        <w:rPr>
          <w:rFonts w:cs="Arial"/>
          <w:color w:val="000000" w:themeColor="text1"/>
        </w:rPr>
        <w:t xml:space="preserve"> 11.776,19 </w:t>
      </w:r>
      <w:r w:rsidR="00872506">
        <w:rPr>
          <w:rFonts w:cs="Arial"/>
          <w:color w:val="000000" w:themeColor="text1"/>
        </w:rPr>
        <w:t>eura</w:t>
      </w:r>
      <w:r w:rsidR="00C434F8">
        <w:rPr>
          <w:rFonts w:cs="Arial"/>
          <w:color w:val="000000" w:themeColor="text1"/>
        </w:rPr>
        <w:t xml:space="preserve"> </w:t>
      </w:r>
      <w:r w:rsidR="00C434F8" w:rsidRPr="00C434F8">
        <w:rPr>
          <w:rFonts w:cs="Arial"/>
          <w:color w:val="000000" w:themeColor="text1"/>
        </w:rPr>
        <w:t>zbog obavljanja sistematskih pregleda zaposlenika iznad 50 godina starosti koji su to pravo imali prema Kolektivnom ugovoru za državne službenike i namještenike (Narodne novine 56/22).</w:t>
      </w:r>
      <w:r w:rsidR="008935B5">
        <w:rPr>
          <w:rFonts w:cs="Arial"/>
          <w:color w:val="000000" w:themeColor="text1"/>
        </w:rPr>
        <w:t xml:space="preserve"> </w:t>
      </w:r>
      <w:r w:rsidR="008935B5" w:rsidRPr="008935B5">
        <w:rPr>
          <w:rFonts w:cs="Arial"/>
          <w:color w:val="000000" w:themeColor="text1"/>
        </w:rPr>
        <w:t xml:space="preserve">Do povećanja je došlo i na rashodima za računalne usluge </w:t>
      </w:r>
      <w:r w:rsidR="00602ED8">
        <w:rPr>
          <w:rFonts w:cs="Arial"/>
          <w:color w:val="000000" w:themeColor="text1"/>
        </w:rPr>
        <w:t>za</w:t>
      </w:r>
      <w:r w:rsidR="008935B5">
        <w:rPr>
          <w:rFonts w:cs="Arial"/>
          <w:color w:val="000000" w:themeColor="text1"/>
        </w:rPr>
        <w:t xml:space="preserve"> 144.231,18 </w:t>
      </w:r>
      <w:r w:rsidR="000B4CE3">
        <w:rPr>
          <w:rFonts w:cs="Arial"/>
          <w:color w:val="000000" w:themeColor="text1"/>
        </w:rPr>
        <w:t>eura</w:t>
      </w:r>
      <w:r w:rsidR="008935B5">
        <w:rPr>
          <w:rFonts w:cs="Arial"/>
          <w:color w:val="000000" w:themeColor="text1"/>
        </w:rPr>
        <w:t xml:space="preserve"> zbog </w:t>
      </w:r>
      <w:r w:rsidR="008935B5" w:rsidRPr="008935B5">
        <w:rPr>
          <w:rFonts w:cs="Arial"/>
          <w:color w:val="000000" w:themeColor="text1"/>
        </w:rPr>
        <w:t xml:space="preserve">udomljavanja i održavanja IT resursa </w:t>
      </w:r>
      <w:r w:rsidR="006F63A8" w:rsidRPr="008935B5">
        <w:rPr>
          <w:rFonts w:cs="Arial"/>
          <w:color w:val="000000" w:themeColor="text1"/>
        </w:rPr>
        <w:t xml:space="preserve">na državnoj infrastrukturi u Financijskoj agenciji </w:t>
      </w:r>
      <w:r w:rsidR="008935B5" w:rsidRPr="008935B5">
        <w:rPr>
          <w:rFonts w:cs="Arial"/>
          <w:color w:val="000000" w:themeColor="text1"/>
        </w:rPr>
        <w:t xml:space="preserve">te </w:t>
      </w:r>
      <w:r w:rsidR="006F63A8">
        <w:rPr>
          <w:rFonts w:cs="Arial"/>
          <w:color w:val="000000" w:themeColor="text1"/>
        </w:rPr>
        <w:t xml:space="preserve">održavanja </w:t>
      </w:r>
      <w:r w:rsidR="008935B5" w:rsidRPr="008935B5">
        <w:rPr>
          <w:rFonts w:cs="Arial"/>
          <w:color w:val="000000" w:themeColor="text1"/>
        </w:rPr>
        <w:t xml:space="preserve">programskih aplikacija (serveri, IT oprema, mrežna oprema, VPN i drugo). </w:t>
      </w:r>
      <w:r w:rsidR="00737787">
        <w:rPr>
          <w:rFonts w:cs="Arial"/>
          <w:color w:val="000000" w:themeColor="text1"/>
        </w:rPr>
        <w:t xml:space="preserve">Nadalje, povećani su rashodi za ostale usluge </w:t>
      </w:r>
      <w:r w:rsidR="00602ED8">
        <w:rPr>
          <w:rFonts w:cs="Arial"/>
          <w:color w:val="000000" w:themeColor="text1"/>
        </w:rPr>
        <w:t>za</w:t>
      </w:r>
      <w:r w:rsidR="00737787">
        <w:rPr>
          <w:rFonts w:cs="Arial"/>
          <w:color w:val="000000" w:themeColor="text1"/>
        </w:rPr>
        <w:t xml:space="preserve"> 21.902,57 </w:t>
      </w:r>
      <w:r w:rsidR="00872506">
        <w:rPr>
          <w:rFonts w:cs="Arial"/>
          <w:color w:val="000000" w:themeColor="text1"/>
        </w:rPr>
        <w:t>eura</w:t>
      </w:r>
      <w:r w:rsidR="00BE6F0A">
        <w:rPr>
          <w:rFonts w:cs="Arial"/>
          <w:color w:val="000000" w:themeColor="text1"/>
        </w:rPr>
        <w:t xml:space="preserve"> </w:t>
      </w:r>
      <w:r w:rsidR="00BE6F0A" w:rsidRPr="00BE6F0A">
        <w:rPr>
          <w:rFonts w:cs="Arial"/>
          <w:color w:val="000000" w:themeColor="text1"/>
        </w:rPr>
        <w:t xml:space="preserve">zbog troškova selidbe u Središnjem uredu na privremenu lokaciju </w:t>
      </w:r>
      <w:r w:rsidR="00BE6F0A">
        <w:rPr>
          <w:rFonts w:cs="Arial"/>
          <w:color w:val="000000" w:themeColor="text1"/>
        </w:rPr>
        <w:t xml:space="preserve">Prolaz Jurja Ratkaja 8, Zagreb </w:t>
      </w:r>
      <w:r w:rsidR="00BE6F0A" w:rsidRPr="00BE6F0A">
        <w:rPr>
          <w:rFonts w:cs="Arial"/>
          <w:color w:val="000000" w:themeColor="text1"/>
        </w:rPr>
        <w:t xml:space="preserve">i </w:t>
      </w:r>
      <w:r w:rsidR="000B4CE3">
        <w:rPr>
          <w:rFonts w:cs="Arial"/>
          <w:color w:val="000000" w:themeColor="text1"/>
        </w:rPr>
        <w:t>u P</w:t>
      </w:r>
      <w:r w:rsidR="00BE6F0A" w:rsidRPr="00BE6F0A">
        <w:rPr>
          <w:rFonts w:cs="Arial"/>
          <w:color w:val="000000" w:themeColor="text1"/>
        </w:rPr>
        <w:t xml:space="preserve">odručnom uredu Sisak </w:t>
      </w:r>
      <w:r w:rsidR="00BE6F0A">
        <w:rPr>
          <w:rFonts w:cs="Arial"/>
          <w:color w:val="000000" w:themeColor="text1"/>
        </w:rPr>
        <w:t>na privremenu lokaciju</w:t>
      </w:r>
      <w:r w:rsidR="00BE6F0A" w:rsidRPr="00BE6F0A">
        <w:t xml:space="preserve"> </w:t>
      </w:r>
      <w:r w:rsidR="00BE6F0A">
        <w:rPr>
          <w:rFonts w:cs="Arial"/>
          <w:color w:val="000000" w:themeColor="text1"/>
        </w:rPr>
        <w:t>Stjepana i Antuna Radića 24</w:t>
      </w:r>
      <w:r w:rsidR="00BE6F0A" w:rsidRPr="00BE6F0A">
        <w:rPr>
          <w:rFonts w:cs="Arial"/>
          <w:color w:val="000000" w:themeColor="text1"/>
        </w:rPr>
        <w:t>.</w:t>
      </w:r>
      <w:r w:rsidR="00BE6F0A" w:rsidRPr="00C434F8">
        <w:rPr>
          <w:rFonts w:cs="Arial"/>
          <w:color w:val="000000" w:themeColor="text1"/>
        </w:rPr>
        <w:t xml:space="preserve"> </w:t>
      </w:r>
    </w:p>
    <w:p w14:paraId="40C8A436" w14:textId="5CA13B33" w:rsidR="00A350A2" w:rsidRPr="00CA357C" w:rsidRDefault="00D509FD" w:rsidP="001D608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rPr>
          <w:rFonts w:cs="Arial"/>
          <w:color w:val="000000" w:themeColor="text1"/>
        </w:rPr>
      </w:pPr>
      <w:r>
        <w:rPr>
          <w:rFonts w:cs="Arial"/>
          <w:color w:val="000000" w:themeColor="text1"/>
        </w:rPr>
        <w:tab/>
      </w:r>
      <w:r w:rsidR="007E368A" w:rsidRPr="00CA357C">
        <w:rPr>
          <w:rFonts w:cs="Arial"/>
          <w:color w:val="000000" w:themeColor="text1"/>
        </w:rPr>
        <w:t>Nadalje,</w:t>
      </w:r>
      <w:r w:rsidR="008B6652" w:rsidRPr="00CA357C">
        <w:rPr>
          <w:rFonts w:cs="Arial"/>
          <w:color w:val="000000" w:themeColor="text1"/>
        </w:rPr>
        <w:t xml:space="preserve"> ukupno</w:t>
      </w:r>
      <w:r w:rsidR="007E368A" w:rsidRPr="00CA357C">
        <w:rPr>
          <w:rFonts w:cs="Arial"/>
          <w:color w:val="000000" w:themeColor="text1"/>
        </w:rPr>
        <w:t xml:space="preserve"> izvršenje rashoda za dodatna ulaganja </w:t>
      </w:r>
      <w:r w:rsidR="00A00C64">
        <w:rPr>
          <w:rFonts w:cs="Arial"/>
          <w:color w:val="000000" w:themeColor="text1"/>
        </w:rPr>
        <w:t>na nefinancijskoj imovini iznosi</w:t>
      </w:r>
      <w:r w:rsidR="007E368A" w:rsidRPr="00CA357C">
        <w:rPr>
          <w:rFonts w:cs="Arial"/>
          <w:color w:val="000000" w:themeColor="text1"/>
        </w:rPr>
        <w:t xml:space="preserve"> </w:t>
      </w:r>
      <w:r w:rsidR="00DC352F">
        <w:rPr>
          <w:rFonts w:cs="Arial"/>
          <w:color w:val="000000" w:themeColor="text1"/>
        </w:rPr>
        <w:t>719.213,27</w:t>
      </w:r>
      <w:r w:rsidR="007E368A" w:rsidRPr="00CA357C">
        <w:rPr>
          <w:rFonts w:cs="Arial"/>
          <w:color w:val="000000" w:themeColor="text1"/>
        </w:rPr>
        <w:t xml:space="preserve"> </w:t>
      </w:r>
      <w:r w:rsidR="00872506">
        <w:rPr>
          <w:rFonts w:cs="Arial"/>
          <w:color w:val="000000" w:themeColor="text1"/>
        </w:rPr>
        <w:t>eura</w:t>
      </w:r>
      <w:r w:rsidR="007E368A" w:rsidRPr="00CA357C">
        <w:rPr>
          <w:rFonts w:cs="Arial"/>
          <w:color w:val="000000" w:themeColor="text1"/>
        </w:rPr>
        <w:t xml:space="preserve"> ili </w:t>
      </w:r>
      <w:r w:rsidR="00DC352F">
        <w:rPr>
          <w:rFonts w:cs="Arial"/>
          <w:color w:val="000000" w:themeColor="text1"/>
        </w:rPr>
        <w:t>99,8</w:t>
      </w:r>
      <w:r w:rsidR="007E368A" w:rsidRPr="00CA357C">
        <w:rPr>
          <w:rFonts w:cs="Arial"/>
          <w:color w:val="000000" w:themeColor="text1"/>
        </w:rPr>
        <w:t xml:space="preserve"> % u odnosu na tekući plan </w:t>
      </w:r>
      <w:r w:rsidR="00267EF9">
        <w:rPr>
          <w:rFonts w:cs="Arial"/>
          <w:color w:val="000000" w:themeColor="text1"/>
        </w:rPr>
        <w:t xml:space="preserve">za </w:t>
      </w:r>
      <w:r w:rsidR="007E368A" w:rsidRPr="00CA357C">
        <w:rPr>
          <w:rFonts w:cs="Arial"/>
          <w:color w:val="000000" w:themeColor="text1"/>
        </w:rPr>
        <w:t xml:space="preserve">2023. i </w:t>
      </w:r>
      <w:r w:rsidR="00DC352F">
        <w:rPr>
          <w:rFonts w:cs="Arial"/>
          <w:color w:val="000000" w:themeColor="text1"/>
        </w:rPr>
        <w:t xml:space="preserve">manji </w:t>
      </w:r>
      <w:r w:rsidR="007E368A" w:rsidRPr="00CA357C">
        <w:rPr>
          <w:rFonts w:cs="Arial"/>
          <w:color w:val="000000" w:themeColor="text1"/>
        </w:rPr>
        <w:t xml:space="preserve">su za </w:t>
      </w:r>
      <w:r w:rsidR="00DC352F">
        <w:rPr>
          <w:rFonts w:cs="Arial"/>
          <w:color w:val="000000" w:themeColor="text1"/>
        </w:rPr>
        <w:t>383.011,07</w:t>
      </w:r>
      <w:r w:rsidR="007E368A" w:rsidRPr="00CA357C">
        <w:rPr>
          <w:rFonts w:cs="Arial"/>
          <w:color w:val="000000" w:themeColor="text1"/>
        </w:rPr>
        <w:t xml:space="preserve"> </w:t>
      </w:r>
      <w:r w:rsidR="000B4CE3">
        <w:rPr>
          <w:rFonts w:cs="Arial"/>
          <w:color w:val="000000" w:themeColor="text1"/>
        </w:rPr>
        <w:t>eura</w:t>
      </w:r>
      <w:r w:rsidR="007E368A" w:rsidRPr="00CA357C">
        <w:rPr>
          <w:rFonts w:cs="Arial"/>
          <w:color w:val="000000" w:themeColor="text1"/>
        </w:rPr>
        <w:t xml:space="preserve"> u odnosu na </w:t>
      </w:r>
      <w:r w:rsidR="008B6652" w:rsidRPr="00CA357C">
        <w:rPr>
          <w:rFonts w:cs="Arial"/>
          <w:color w:val="000000" w:themeColor="text1"/>
        </w:rPr>
        <w:t>prethodno izvještajno razdoblje. Navedeni rashodi financirani su iz prihoda kapitalne pomoći od institucija i tijela EU u iznosu od 357.</w:t>
      </w:r>
      <w:r w:rsidR="0068618B">
        <w:rPr>
          <w:rFonts w:cs="Arial"/>
          <w:color w:val="000000" w:themeColor="text1"/>
        </w:rPr>
        <w:t>716,99</w:t>
      </w:r>
      <w:r w:rsidR="008B6652" w:rsidRPr="00CA357C">
        <w:rPr>
          <w:rFonts w:cs="Arial"/>
          <w:color w:val="000000" w:themeColor="text1"/>
        </w:rPr>
        <w:t xml:space="preserve"> </w:t>
      </w:r>
      <w:r w:rsidR="00872506">
        <w:rPr>
          <w:rFonts w:cs="Arial"/>
          <w:color w:val="000000" w:themeColor="text1"/>
        </w:rPr>
        <w:t>eura</w:t>
      </w:r>
      <w:r w:rsidR="008B6652" w:rsidRPr="00CA357C">
        <w:rPr>
          <w:rFonts w:cs="Arial"/>
          <w:color w:val="000000" w:themeColor="text1"/>
        </w:rPr>
        <w:t xml:space="preserve"> i iz prihoda iz nadležnog proračuna </w:t>
      </w:r>
      <w:r w:rsidR="00A61A53" w:rsidRPr="00CA357C">
        <w:rPr>
          <w:rFonts w:cs="Arial"/>
          <w:color w:val="000000" w:themeColor="text1"/>
        </w:rPr>
        <w:t xml:space="preserve">za </w:t>
      </w:r>
      <w:r w:rsidR="008B6652" w:rsidRPr="00CA357C">
        <w:rPr>
          <w:rFonts w:cs="Arial"/>
          <w:color w:val="000000" w:themeColor="text1"/>
        </w:rPr>
        <w:t>financiranje rashoda za nabavu nefinancijske imovine</w:t>
      </w:r>
      <w:r w:rsidR="007E368A" w:rsidRPr="00CA357C">
        <w:rPr>
          <w:rFonts w:cs="Arial"/>
          <w:color w:val="000000" w:themeColor="text1"/>
        </w:rPr>
        <w:t xml:space="preserve"> </w:t>
      </w:r>
      <w:r w:rsidR="008B6652" w:rsidRPr="00CA357C">
        <w:rPr>
          <w:rFonts w:cs="Arial"/>
          <w:color w:val="000000" w:themeColor="text1"/>
        </w:rPr>
        <w:t xml:space="preserve">u iznosu od </w:t>
      </w:r>
      <w:r w:rsidR="0068618B">
        <w:rPr>
          <w:rFonts w:cs="Arial"/>
          <w:color w:val="000000" w:themeColor="text1"/>
        </w:rPr>
        <w:t>361.496,28</w:t>
      </w:r>
      <w:r w:rsidR="001A10C8" w:rsidRPr="00CA357C">
        <w:rPr>
          <w:rFonts w:cs="Arial"/>
          <w:color w:val="000000" w:themeColor="text1"/>
        </w:rPr>
        <w:t xml:space="preserve"> </w:t>
      </w:r>
      <w:r w:rsidR="00872506">
        <w:rPr>
          <w:rFonts w:cs="Arial"/>
          <w:color w:val="000000" w:themeColor="text1"/>
        </w:rPr>
        <w:t>eura</w:t>
      </w:r>
      <w:r w:rsidR="001A10C8" w:rsidRPr="00CA357C">
        <w:rPr>
          <w:rFonts w:cs="Arial"/>
          <w:color w:val="000000" w:themeColor="text1"/>
        </w:rPr>
        <w:t xml:space="preserve">, </w:t>
      </w:r>
      <w:r w:rsidR="007E368A" w:rsidRPr="00CA357C">
        <w:rPr>
          <w:rFonts w:cs="Arial"/>
          <w:color w:val="000000" w:themeColor="text1"/>
        </w:rPr>
        <w:t>a odnos</w:t>
      </w:r>
      <w:r w:rsidR="001A10C8" w:rsidRPr="00CA357C">
        <w:rPr>
          <w:rFonts w:cs="Arial"/>
          <w:color w:val="000000" w:themeColor="text1"/>
        </w:rPr>
        <w:t>e</w:t>
      </w:r>
      <w:r w:rsidR="00D96D65">
        <w:rPr>
          <w:rFonts w:cs="Arial"/>
          <w:color w:val="000000" w:themeColor="text1"/>
        </w:rPr>
        <w:t xml:space="preserve"> se na </w:t>
      </w:r>
      <w:r w:rsidR="007E368A" w:rsidRPr="00CA357C">
        <w:rPr>
          <w:rFonts w:cs="Arial"/>
          <w:color w:val="000000" w:themeColor="text1"/>
        </w:rPr>
        <w:t xml:space="preserve">obnovu zgrada oštećenih potresom u </w:t>
      </w:r>
      <w:r w:rsidR="001A10C8" w:rsidRPr="00CA357C">
        <w:rPr>
          <w:rFonts w:cs="Arial"/>
          <w:color w:val="000000" w:themeColor="text1"/>
        </w:rPr>
        <w:t>Z</w:t>
      </w:r>
      <w:r w:rsidR="007E368A" w:rsidRPr="00CA357C">
        <w:rPr>
          <w:rFonts w:cs="Arial"/>
          <w:color w:val="000000" w:themeColor="text1"/>
        </w:rPr>
        <w:t xml:space="preserve">agrebu na lokacijama </w:t>
      </w:r>
      <w:proofErr w:type="spellStart"/>
      <w:r w:rsidR="007E368A" w:rsidRPr="00CA357C">
        <w:rPr>
          <w:rFonts w:cs="Arial"/>
          <w:color w:val="000000" w:themeColor="text1"/>
        </w:rPr>
        <w:t>Tkalčićeva</w:t>
      </w:r>
      <w:proofErr w:type="spellEnd"/>
      <w:r w:rsidR="007E368A" w:rsidRPr="00CA357C">
        <w:rPr>
          <w:rFonts w:cs="Arial"/>
          <w:color w:val="000000" w:themeColor="text1"/>
        </w:rPr>
        <w:t xml:space="preserve"> 19, </w:t>
      </w:r>
      <w:proofErr w:type="spellStart"/>
      <w:r w:rsidR="007E368A" w:rsidRPr="00CA357C">
        <w:rPr>
          <w:rFonts w:cs="Arial"/>
          <w:color w:val="000000" w:themeColor="text1"/>
        </w:rPr>
        <w:t>Bogovićeva</w:t>
      </w:r>
      <w:proofErr w:type="spellEnd"/>
      <w:r w:rsidR="007E368A" w:rsidRPr="00CA357C">
        <w:rPr>
          <w:rFonts w:cs="Arial"/>
          <w:color w:val="000000" w:themeColor="text1"/>
        </w:rPr>
        <w:t xml:space="preserve"> 1a i </w:t>
      </w:r>
      <w:proofErr w:type="spellStart"/>
      <w:r w:rsidR="007E368A" w:rsidRPr="00CA357C">
        <w:rPr>
          <w:rFonts w:cs="Arial"/>
          <w:color w:val="000000" w:themeColor="text1"/>
        </w:rPr>
        <w:t>Tkalčićeva</w:t>
      </w:r>
      <w:proofErr w:type="spellEnd"/>
      <w:r w:rsidR="007E368A" w:rsidRPr="00CA357C">
        <w:rPr>
          <w:rFonts w:cs="Arial"/>
          <w:color w:val="000000" w:themeColor="text1"/>
        </w:rPr>
        <w:t xml:space="preserve"> 67.</w:t>
      </w:r>
      <w:r w:rsidR="001A10C8" w:rsidRPr="00CA357C">
        <w:rPr>
          <w:rFonts w:cs="Arial"/>
          <w:color w:val="000000" w:themeColor="text1"/>
        </w:rPr>
        <w:t xml:space="preserve"> </w:t>
      </w:r>
      <w:r w:rsidR="0068618B">
        <w:rPr>
          <w:rFonts w:cs="Arial"/>
          <w:color w:val="000000" w:themeColor="text1"/>
        </w:rPr>
        <w:t xml:space="preserve">Također, </w:t>
      </w:r>
      <w:r w:rsidR="00380BCD">
        <w:rPr>
          <w:rFonts w:cs="Arial"/>
          <w:color w:val="000000" w:themeColor="text1"/>
        </w:rPr>
        <w:t>u okviru</w:t>
      </w:r>
      <w:r w:rsidR="0068618B" w:rsidRPr="0068618B">
        <w:rPr>
          <w:rFonts w:cs="Arial"/>
          <w:color w:val="000000" w:themeColor="text1"/>
        </w:rPr>
        <w:t xml:space="preserve"> prihoda iz nadležnog proračuna za financiranje rashoda za nabavu nefinancijske imovine</w:t>
      </w:r>
      <w:r w:rsidR="008B080D">
        <w:rPr>
          <w:rFonts w:cs="Arial"/>
          <w:color w:val="000000" w:themeColor="text1"/>
        </w:rPr>
        <w:t xml:space="preserve"> fi</w:t>
      </w:r>
      <w:r w:rsidR="000B4CE3">
        <w:rPr>
          <w:rFonts w:cs="Arial"/>
          <w:color w:val="000000" w:themeColor="text1"/>
        </w:rPr>
        <w:t>nancirana je i obnova zgrade u P</w:t>
      </w:r>
      <w:r w:rsidR="008B080D">
        <w:rPr>
          <w:rFonts w:cs="Arial"/>
          <w:color w:val="000000" w:themeColor="text1"/>
        </w:rPr>
        <w:t xml:space="preserve">odručnom uredu Osijek (radovi na fasadi i parkiralištu) u iznosu od 61.278,25 </w:t>
      </w:r>
      <w:r w:rsidR="00872506">
        <w:rPr>
          <w:rFonts w:cs="Arial"/>
          <w:color w:val="000000" w:themeColor="text1"/>
        </w:rPr>
        <w:t>eura</w:t>
      </w:r>
      <w:r w:rsidR="008B080D">
        <w:rPr>
          <w:rFonts w:cs="Arial"/>
          <w:color w:val="000000" w:themeColor="text1"/>
        </w:rPr>
        <w:t>.</w:t>
      </w:r>
    </w:p>
    <w:p w14:paraId="29A596D1" w14:textId="4CC79592" w:rsidR="00EA7D43" w:rsidRPr="00CF1259" w:rsidRDefault="005968E5" w:rsidP="00CF1259">
      <w:pPr>
        <w:pStyle w:val="Naslov3"/>
        <w:rPr>
          <w:rFonts w:ascii="Arial" w:hAnsi="Arial" w:cs="Arial"/>
          <w:b/>
          <w:color w:val="auto"/>
        </w:rPr>
      </w:pPr>
      <w:bookmarkStart w:id="11" w:name="_Toc162444746"/>
      <w:r>
        <w:rPr>
          <w:rFonts w:ascii="Arial" w:hAnsi="Arial" w:cs="Arial"/>
          <w:b/>
          <w:color w:val="auto"/>
        </w:rPr>
        <w:lastRenderedPageBreak/>
        <w:t>2.3.2</w:t>
      </w:r>
      <w:r w:rsidR="00CF1259" w:rsidRPr="00CF1259">
        <w:rPr>
          <w:rFonts w:ascii="Arial" w:hAnsi="Arial" w:cs="Arial"/>
          <w:b/>
          <w:color w:val="auto"/>
        </w:rPr>
        <w:t>.</w:t>
      </w:r>
      <w:r w:rsidR="00CF1259" w:rsidRPr="00CF1259">
        <w:rPr>
          <w:rFonts w:ascii="Arial" w:hAnsi="Arial" w:cs="Arial"/>
          <w:b/>
          <w:color w:val="auto"/>
        </w:rPr>
        <w:tab/>
      </w:r>
      <w:r w:rsidR="002E261B" w:rsidRPr="00CF1259">
        <w:rPr>
          <w:rFonts w:ascii="Arial" w:hAnsi="Arial" w:cs="Arial"/>
          <w:b/>
          <w:color w:val="auto"/>
        </w:rPr>
        <w:t xml:space="preserve">Obrazloženje </w:t>
      </w:r>
      <w:r w:rsidR="00D96D65">
        <w:rPr>
          <w:rFonts w:ascii="Arial" w:hAnsi="Arial" w:cs="Arial"/>
          <w:b/>
          <w:color w:val="auto"/>
        </w:rPr>
        <w:t>p</w:t>
      </w:r>
      <w:r w:rsidR="00EF6A31" w:rsidRPr="00CF1259">
        <w:rPr>
          <w:rFonts w:ascii="Arial" w:hAnsi="Arial" w:cs="Arial"/>
          <w:b/>
          <w:color w:val="auto"/>
        </w:rPr>
        <w:t xml:space="preserve">osebnog dijela </w:t>
      </w:r>
      <w:r w:rsidR="002E261B" w:rsidRPr="00CF1259">
        <w:rPr>
          <w:rFonts w:ascii="Arial" w:hAnsi="Arial" w:cs="Arial"/>
          <w:b/>
          <w:color w:val="auto"/>
        </w:rPr>
        <w:t xml:space="preserve">izvršenja </w:t>
      </w:r>
      <w:r w:rsidR="00EF6A31" w:rsidRPr="00CF1259">
        <w:rPr>
          <w:rFonts w:ascii="Arial" w:hAnsi="Arial" w:cs="Arial"/>
          <w:b/>
          <w:color w:val="auto"/>
        </w:rPr>
        <w:t>financijskog plana</w:t>
      </w:r>
      <w:bookmarkEnd w:id="11"/>
      <w:r w:rsidR="00EF6A31" w:rsidRPr="00CF1259">
        <w:rPr>
          <w:rFonts w:ascii="Arial" w:hAnsi="Arial" w:cs="Arial"/>
          <w:b/>
          <w:color w:val="auto"/>
        </w:rPr>
        <w:t xml:space="preserve"> </w:t>
      </w:r>
    </w:p>
    <w:p w14:paraId="5AC39B01" w14:textId="77777777" w:rsidR="002C14FD" w:rsidRDefault="002C14FD" w:rsidP="002C14FD">
      <w:pPr>
        <w:widowControl/>
        <w:autoSpaceDE/>
        <w:autoSpaceDN/>
        <w:adjustRightInd/>
        <w:ind w:firstLine="708"/>
        <w:rPr>
          <w:rFonts w:eastAsiaTheme="minorHAnsi" w:cstheme="minorBidi"/>
          <w:szCs w:val="22"/>
          <w:lang w:eastAsia="en-US"/>
        </w:rPr>
      </w:pPr>
    </w:p>
    <w:p w14:paraId="09FC0E5A" w14:textId="199DEE1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Obrazloženje posebnog dijela izvršenja financijskog plana sadrži obrazloženje izvršenja aktivnosti i projekata iz posebnog dijela financijskog plana s ciljevima koji su ostvareni provedbom programa i pokazateljima uspješnosti realizacije tih ciljeva.</w:t>
      </w:r>
    </w:p>
    <w:p w14:paraId="25BF5143" w14:textId="77777777" w:rsidR="002C14FD" w:rsidRPr="002C14FD" w:rsidRDefault="002C14FD" w:rsidP="002C14FD">
      <w:pPr>
        <w:widowControl/>
        <w:autoSpaceDE/>
        <w:autoSpaceDN/>
        <w:adjustRightInd/>
        <w:rPr>
          <w:rFonts w:eastAsiaTheme="minorHAnsi" w:cstheme="minorBidi"/>
          <w:szCs w:val="22"/>
          <w:lang w:eastAsia="en-US"/>
        </w:rPr>
      </w:pPr>
    </w:p>
    <w:p w14:paraId="379D4484" w14:textId="7777777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 xml:space="preserve">Ured izvršava svoje poslove kroz Program 2208 – Djelovanje Državnog ureda za reviziju, koji se odnosi na aktivnosti i projekte utvrđene Strateškim plan za razdoblje 2023. – 2027., Akcijskim planom za provođenje Strateškog plana za razdoblje 2023. – 2027. te Godišnjim programom i planom rada Ureda za 2023.  </w:t>
      </w:r>
    </w:p>
    <w:p w14:paraId="275A593E" w14:textId="77777777" w:rsidR="002C14FD" w:rsidRPr="002C14FD" w:rsidRDefault="002C14FD" w:rsidP="002C14FD">
      <w:pPr>
        <w:widowControl/>
        <w:autoSpaceDE/>
        <w:autoSpaceDN/>
        <w:adjustRightInd/>
        <w:rPr>
          <w:rFonts w:eastAsiaTheme="minorHAnsi" w:cstheme="minorBidi"/>
          <w:szCs w:val="22"/>
          <w:lang w:eastAsia="en-US"/>
        </w:rPr>
      </w:pPr>
    </w:p>
    <w:p w14:paraId="501E5878" w14:textId="77777777" w:rsidR="002C14FD" w:rsidRPr="002C14FD" w:rsidRDefault="002C14FD" w:rsidP="002C14FD">
      <w:pPr>
        <w:widowControl/>
        <w:autoSpaceDE/>
        <w:autoSpaceDN/>
        <w:adjustRightInd/>
        <w:ind w:firstLine="360"/>
        <w:rPr>
          <w:rFonts w:eastAsiaTheme="minorHAnsi" w:cstheme="minorBidi"/>
          <w:szCs w:val="22"/>
          <w:lang w:eastAsia="en-US"/>
        </w:rPr>
      </w:pPr>
      <w:r w:rsidRPr="002C14FD">
        <w:rPr>
          <w:rFonts w:eastAsiaTheme="minorHAnsi" w:cstheme="minorBidi"/>
          <w:szCs w:val="22"/>
          <w:lang w:eastAsia="en-US"/>
        </w:rPr>
        <w:t>Za financiranje aktivnosti utvrđenih navedenim dokumentima osigurana su sredstva u financijskom planu za 2023. u okviru Programa 2208 – Djelovanje Državnog ureda za reviziju. Navedenim Strateškim planom utvrđen je:</w:t>
      </w:r>
    </w:p>
    <w:p w14:paraId="3734CF3B" w14:textId="77777777" w:rsidR="002C14FD" w:rsidRPr="002C14FD" w:rsidRDefault="002C14FD" w:rsidP="002C14FD">
      <w:pPr>
        <w:widowControl/>
        <w:autoSpaceDE/>
        <w:autoSpaceDN/>
        <w:adjustRightInd/>
        <w:rPr>
          <w:rFonts w:eastAsiaTheme="minorHAnsi" w:cstheme="minorBidi"/>
          <w:szCs w:val="22"/>
          <w:lang w:eastAsia="en-US"/>
        </w:rPr>
      </w:pPr>
    </w:p>
    <w:p w14:paraId="7FFEE9E3" w14:textId="77777777" w:rsidR="002C14FD" w:rsidRPr="002C14FD" w:rsidRDefault="002C14FD" w:rsidP="002C14FD">
      <w:pPr>
        <w:widowControl/>
        <w:numPr>
          <w:ilvl w:val="0"/>
          <w:numId w:val="35"/>
        </w:numPr>
        <w:autoSpaceDE/>
        <w:autoSpaceDN/>
        <w:adjustRightInd/>
        <w:contextualSpacing/>
        <w:rPr>
          <w:rFonts w:eastAsiaTheme="minorHAnsi" w:cstheme="minorBidi"/>
          <w:szCs w:val="22"/>
          <w:lang w:eastAsia="en-US"/>
        </w:rPr>
      </w:pPr>
      <w:r w:rsidRPr="002C14FD">
        <w:rPr>
          <w:rFonts w:eastAsiaTheme="minorHAnsi" w:cstheme="minorBidi"/>
          <w:szCs w:val="22"/>
          <w:lang w:eastAsia="en-US"/>
        </w:rPr>
        <w:t xml:space="preserve">opći cilj Ureda koji je usmjeren na ostvarivanje zadaća u skladu s odredbama Zakona o Državnom uredu za reviziju, pri čemu se trebaju primjenjivati Međunarodni standardi vrhovnih revizijskih institucija i poštovati Kodeks profesionalne etike državnih revizora te se ostvaruje obavljanjem temeljne zadaće Državnog ureda za reviziju kroz obavljanje revizija u skladu s odredbama Zakona o Državnom uredu za reviziju </w:t>
      </w:r>
    </w:p>
    <w:p w14:paraId="715FB966" w14:textId="77777777" w:rsidR="002C14FD" w:rsidRPr="002C14FD" w:rsidRDefault="002C14FD" w:rsidP="002C14FD">
      <w:pPr>
        <w:widowControl/>
        <w:autoSpaceDE/>
        <w:autoSpaceDN/>
        <w:adjustRightInd/>
        <w:ind w:left="720"/>
        <w:contextualSpacing/>
        <w:rPr>
          <w:rFonts w:eastAsiaTheme="minorHAnsi" w:cstheme="minorBidi"/>
          <w:szCs w:val="22"/>
          <w:lang w:eastAsia="en-US"/>
        </w:rPr>
      </w:pPr>
    </w:p>
    <w:p w14:paraId="00587BB7" w14:textId="77777777" w:rsidR="002C14FD" w:rsidRPr="002C14FD" w:rsidRDefault="002C14FD" w:rsidP="002C14FD">
      <w:pPr>
        <w:widowControl/>
        <w:numPr>
          <w:ilvl w:val="0"/>
          <w:numId w:val="35"/>
        </w:numPr>
        <w:autoSpaceDE/>
        <w:autoSpaceDN/>
        <w:adjustRightInd/>
        <w:contextualSpacing/>
        <w:rPr>
          <w:rFonts w:eastAsiaTheme="minorHAnsi" w:cstheme="minorBidi"/>
          <w:szCs w:val="22"/>
          <w:lang w:eastAsia="en-US"/>
        </w:rPr>
      </w:pPr>
      <w:r w:rsidRPr="002C14FD">
        <w:rPr>
          <w:rFonts w:eastAsiaTheme="minorHAnsi" w:cstheme="minorBidi"/>
          <w:szCs w:val="22"/>
          <w:lang w:eastAsia="en-US"/>
        </w:rPr>
        <w:t xml:space="preserve">posebni ciljevi Ureda koji se odnose na: </w:t>
      </w:r>
    </w:p>
    <w:p w14:paraId="5D8EC01E" w14:textId="695B184B" w:rsidR="002C14FD" w:rsidRPr="002C14FD" w:rsidRDefault="002C14FD" w:rsidP="002C14FD">
      <w:pPr>
        <w:widowControl/>
        <w:autoSpaceDE/>
        <w:autoSpaceDN/>
        <w:adjustRightInd/>
        <w:ind w:left="720"/>
        <w:contextualSpacing/>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jačanje in</w:t>
      </w:r>
      <w:r w:rsidR="00A7149F">
        <w:rPr>
          <w:rFonts w:eastAsiaTheme="minorHAnsi" w:cstheme="minorBidi"/>
          <w:szCs w:val="22"/>
          <w:lang w:eastAsia="en-US"/>
        </w:rPr>
        <w:t>stitucionalnog i pravnog okvira</w:t>
      </w:r>
      <w:r w:rsidRPr="002C14FD">
        <w:rPr>
          <w:rFonts w:eastAsiaTheme="minorHAnsi" w:cstheme="minorBidi"/>
          <w:szCs w:val="22"/>
          <w:lang w:eastAsia="en-US"/>
        </w:rPr>
        <w:t xml:space="preserve"> </w:t>
      </w:r>
    </w:p>
    <w:p w14:paraId="486D3849" w14:textId="77777777" w:rsidR="002C14FD" w:rsidRPr="002C14FD" w:rsidRDefault="002C14FD" w:rsidP="002C14FD">
      <w:pPr>
        <w:widowControl/>
        <w:autoSpaceDE/>
        <w:autoSpaceDN/>
        <w:adjustRightInd/>
        <w:ind w:left="720"/>
        <w:contextualSpacing/>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razvoj kapaciteta</w:t>
      </w:r>
    </w:p>
    <w:p w14:paraId="21151446" w14:textId="77777777" w:rsidR="002C14FD" w:rsidRPr="002C14FD" w:rsidRDefault="002C14FD" w:rsidP="002C14FD">
      <w:pPr>
        <w:widowControl/>
        <w:autoSpaceDE/>
        <w:autoSpaceDN/>
        <w:adjustRightInd/>
        <w:ind w:left="1410" w:hanging="690"/>
        <w:contextualSpacing/>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daljnje razvijanje i usklađivanje metodologije i načina rada Ureda s Međunarodnim standardima vrhovnih revizijskih institucija</w:t>
      </w:r>
    </w:p>
    <w:p w14:paraId="40B78D68" w14:textId="77777777" w:rsidR="002C14FD" w:rsidRPr="002C14FD" w:rsidRDefault="002C14FD" w:rsidP="002C14FD">
      <w:pPr>
        <w:widowControl/>
        <w:autoSpaceDE/>
        <w:autoSpaceDN/>
        <w:adjustRightInd/>
        <w:ind w:left="720"/>
        <w:contextualSpacing/>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 xml:space="preserve">povećanje učinkovitosti Ureda te </w:t>
      </w:r>
    </w:p>
    <w:p w14:paraId="5CB8AFA9" w14:textId="77777777" w:rsidR="002C14FD" w:rsidRPr="002C14FD" w:rsidRDefault="002C14FD" w:rsidP="002C14FD">
      <w:pPr>
        <w:widowControl/>
        <w:autoSpaceDE/>
        <w:autoSpaceDN/>
        <w:adjustRightInd/>
        <w:ind w:left="720"/>
        <w:contextualSpacing/>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jačanje međunarodne suradnje i odnosa s javnošću.</w:t>
      </w:r>
    </w:p>
    <w:p w14:paraId="3437E147" w14:textId="77777777" w:rsidR="002C14FD" w:rsidRPr="002C14FD" w:rsidRDefault="002C14FD" w:rsidP="002C14FD">
      <w:pPr>
        <w:widowControl/>
        <w:autoSpaceDE/>
        <w:autoSpaceDN/>
        <w:adjustRightInd/>
        <w:rPr>
          <w:rFonts w:eastAsiaTheme="minorHAnsi" w:cstheme="minorBidi"/>
          <w:szCs w:val="22"/>
          <w:lang w:eastAsia="en-US"/>
        </w:rPr>
      </w:pPr>
    </w:p>
    <w:p w14:paraId="5ECA366F" w14:textId="7777777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Posebni ciljevi ostvaruju se provođenjem aktivnosti koje su planirane u okviru pojedinog posebnog cilja, kako je navedeno u nastavku.</w:t>
      </w:r>
    </w:p>
    <w:p w14:paraId="40B9772C" w14:textId="3ED7292E" w:rsidR="002E261B" w:rsidRDefault="002E261B" w:rsidP="002E261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360"/>
        <w:rPr>
          <w:rFonts w:cs="Arial"/>
          <w:b/>
          <w:color w:val="000000" w:themeColor="text1"/>
        </w:rPr>
      </w:pPr>
    </w:p>
    <w:p w14:paraId="08681EFA" w14:textId="77777777" w:rsidR="00D36856" w:rsidRPr="00F23877" w:rsidRDefault="00D36856" w:rsidP="00D36856">
      <w:pPr>
        <w:widowControl/>
        <w:autoSpaceDE/>
        <w:autoSpaceDN/>
        <w:adjustRightInd/>
        <w:rPr>
          <w:rFonts w:eastAsiaTheme="minorHAnsi" w:cs="Arial"/>
          <w:lang w:eastAsia="en-US"/>
        </w:rPr>
      </w:pPr>
    </w:p>
    <w:p w14:paraId="73C4F59E" w14:textId="77777777" w:rsidR="00B416E9" w:rsidRDefault="00B416E9" w:rsidP="000258A0">
      <w:pPr>
        <w:widowControl/>
        <w:autoSpaceDE/>
        <w:autoSpaceDN/>
        <w:adjustRightInd/>
        <w:rPr>
          <w:rFonts w:eastAsiaTheme="minorHAnsi" w:cs="Arial"/>
          <w:lang w:eastAsia="en-US"/>
        </w:rPr>
      </w:pPr>
    </w:p>
    <w:p w14:paraId="3C93FD72" w14:textId="2CA08534" w:rsidR="000258A0" w:rsidRPr="0000028F" w:rsidRDefault="005968E5" w:rsidP="005968E5">
      <w:pPr>
        <w:pStyle w:val="Naslov3"/>
        <w:tabs>
          <w:tab w:val="left" w:pos="993"/>
        </w:tabs>
        <w:rPr>
          <w:rFonts w:ascii="Arial" w:hAnsi="Arial" w:cs="Arial"/>
          <w:b/>
          <w:color w:val="auto"/>
        </w:rPr>
      </w:pPr>
      <w:bookmarkStart w:id="12" w:name="_Toc162444747"/>
      <w:r w:rsidRPr="0000028F">
        <w:rPr>
          <w:rFonts w:ascii="Arial" w:hAnsi="Arial" w:cs="Arial"/>
          <w:b/>
          <w:color w:val="auto"/>
        </w:rPr>
        <w:t>2.3.2.1.</w:t>
      </w:r>
      <w:r w:rsidRPr="0000028F">
        <w:rPr>
          <w:rFonts w:ascii="Arial" w:hAnsi="Arial" w:cs="Arial"/>
          <w:b/>
          <w:color w:val="auto"/>
        </w:rPr>
        <w:tab/>
      </w:r>
      <w:r w:rsidR="0069189D" w:rsidRPr="0000028F">
        <w:rPr>
          <w:rFonts w:ascii="Arial" w:hAnsi="Arial" w:cs="Arial"/>
          <w:b/>
          <w:color w:val="auto"/>
        </w:rPr>
        <w:t>Pokazatelji rezultata</w:t>
      </w:r>
      <w:bookmarkEnd w:id="12"/>
    </w:p>
    <w:p w14:paraId="2522F1AF" w14:textId="77777777" w:rsidR="00F23877" w:rsidRPr="0000028F" w:rsidRDefault="00F23877" w:rsidP="00F23877"/>
    <w:p w14:paraId="43D95FCE" w14:textId="25F18963" w:rsidR="00F23877" w:rsidRPr="0000028F" w:rsidRDefault="002C46B8" w:rsidP="00F23877">
      <w:pPr>
        <w:pStyle w:val="Odlomakpopisa"/>
        <w:ind w:left="0" w:firstLine="567"/>
        <w:rPr>
          <w:rFonts w:cs="Arial"/>
        </w:rPr>
      </w:pPr>
      <w:r w:rsidRPr="0000028F">
        <w:rPr>
          <w:rFonts w:eastAsia="Arial Unicode MS" w:cs="Arial"/>
        </w:rPr>
        <w:t xml:space="preserve">Sredstva za obavljene aktivnosti za ostvarenje općeg i posebnih ciljeva planirana su </w:t>
      </w:r>
      <w:r w:rsidR="00F23877" w:rsidRPr="0000028F">
        <w:rPr>
          <w:rFonts w:eastAsia="Arial Unicode MS" w:cs="Arial"/>
        </w:rPr>
        <w:t>u okviru aktivnosti Ureda koja je utvrđena Proračunskom klasifikacijom u okviru jedne aktivnosti i dva projekta</w:t>
      </w:r>
      <w:r w:rsidR="00A00C64">
        <w:rPr>
          <w:rFonts w:eastAsia="Arial Unicode MS" w:cs="Arial"/>
        </w:rPr>
        <w:t>,</w:t>
      </w:r>
      <w:r w:rsidR="00F23877" w:rsidRPr="0000028F">
        <w:rPr>
          <w:rFonts w:eastAsia="Arial Unicode MS" w:cs="Arial"/>
        </w:rPr>
        <w:t xml:space="preserve"> i to: </w:t>
      </w:r>
    </w:p>
    <w:p w14:paraId="053D3490" w14:textId="77777777" w:rsidR="00F23877" w:rsidRPr="0000028F" w:rsidRDefault="00F23877" w:rsidP="00F23877">
      <w:pPr>
        <w:widowControl/>
        <w:tabs>
          <w:tab w:val="left" w:pos="567"/>
        </w:tabs>
        <w:overflowPunct w:val="0"/>
        <w:rPr>
          <w:rFonts w:eastAsia="Arial Unicode MS" w:cs="Arial"/>
        </w:rPr>
      </w:pPr>
    </w:p>
    <w:p w14:paraId="181619CF" w14:textId="77777777" w:rsidR="00F23877" w:rsidRPr="0000028F" w:rsidRDefault="00F23877" w:rsidP="00F23877">
      <w:pPr>
        <w:tabs>
          <w:tab w:val="left" w:pos="113"/>
          <w:tab w:val="left" w:pos="993"/>
        </w:tabs>
        <w:ind w:firstLine="567"/>
        <w:rPr>
          <w:rFonts w:cs="Arial"/>
        </w:rPr>
      </w:pPr>
      <w:r w:rsidRPr="0000028F">
        <w:rPr>
          <w:rFonts w:cs="Arial"/>
        </w:rPr>
        <w:t>A</w:t>
      </w:r>
      <w:r w:rsidRPr="0000028F">
        <w:rPr>
          <w:rFonts w:cs="Arial"/>
        </w:rPr>
        <w:tab/>
        <w:t>665000 – Administracija i upravljanje</w:t>
      </w:r>
    </w:p>
    <w:p w14:paraId="22E8D518" w14:textId="77777777" w:rsidR="00F23877" w:rsidRPr="0000028F" w:rsidRDefault="00F23877" w:rsidP="00F23877">
      <w:pPr>
        <w:ind w:firstLine="567"/>
        <w:rPr>
          <w:rFonts w:cs="Arial"/>
        </w:rPr>
      </w:pPr>
    </w:p>
    <w:p w14:paraId="5943CAB7" w14:textId="77777777" w:rsidR="00F23877" w:rsidRPr="0000028F" w:rsidRDefault="00F23877" w:rsidP="00F23877">
      <w:pPr>
        <w:ind w:firstLine="567"/>
        <w:rPr>
          <w:rFonts w:cs="Arial"/>
        </w:rPr>
      </w:pPr>
      <w:r w:rsidRPr="0000028F">
        <w:rPr>
          <w:rFonts w:cs="Arial"/>
        </w:rPr>
        <w:t>Osim navedenih aktivnosti, Ured provodi kapitalne projekte</w:t>
      </w:r>
      <w:r w:rsidRPr="00A00C64">
        <w:rPr>
          <w:rFonts w:cs="Arial"/>
        </w:rPr>
        <w:t>,</w:t>
      </w:r>
      <w:r w:rsidRPr="0000028F">
        <w:rPr>
          <w:rFonts w:cs="Arial"/>
        </w:rPr>
        <w:t xml:space="preserve"> i to:</w:t>
      </w:r>
    </w:p>
    <w:p w14:paraId="18C4B5E2" w14:textId="77777777" w:rsidR="00F23877" w:rsidRPr="0000028F" w:rsidRDefault="00F23877" w:rsidP="00F23877">
      <w:pPr>
        <w:tabs>
          <w:tab w:val="left" w:pos="113"/>
          <w:tab w:val="left" w:pos="993"/>
        </w:tabs>
        <w:ind w:firstLine="567"/>
        <w:rPr>
          <w:rFonts w:cs="Arial"/>
        </w:rPr>
      </w:pPr>
      <w:r w:rsidRPr="0000028F">
        <w:rPr>
          <w:rFonts w:cs="Arial"/>
        </w:rPr>
        <w:t>K</w:t>
      </w:r>
      <w:r w:rsidRPr="0000028F">
        <w:rPr>
          <w:rFonts w:cs="Arial"/>
        </w:rPr>
        <w:tab/>
        <w:t xml:space="preserve">665001 – Informatizacija </w:t>
      </w:r>
    </w:p>
    <w:p w14:paraId="4D826C0D" w14:textId="77777777" w:rsidR="00F23877" w:rsidRPr="0000028F" w:rsidRDefault="00F23877" w:rsidP="00F23877">
      <w:pPr>
        <w:tabs>
          <w:tab w:val="left" w:pos="113"/>
          <w:tab w:val="left" w:pos="993"/>
        </w:tabs>
        <w:ind w:firstLine="567"/>
        <w:rPr>
          <w:rFonts w:cs="Arial"/>
        </w:rPr>
      </w:pPr>
      <w:r w:rsidRPr="0000028F">
        <w:rPr>
          <w:rFonts w:cs="Arial"/>
        </w:rPr>
        <w:t>K</w:t>
      </w:r>
      <w:r w:rsidRPr="0000028F">
        <w:rPr>
          <w:rFonts w:cs="Arial"/>
        </w:rPr>
        <w:tab/>
        <w:t>665002 – Obnova voznog parka.</w:t>
      </w:r>
    </w:p>
    <w:p w14:paraId="4692D3A3" w14:textId="72975FA4" w:rsidR="00F23877" w:rsidRPr="0000028F" w:rsidRDefault="00F23877" w:rsidP="000258A0">
      <w:pPr>
        <w:widowControl/>
        <w:autoSpaceDE/>
        <w:autoSpaceDN/>
        <w:adjustRightInd/>
        <w:rPr>
          <w:rFonts w:eastAsiaTheme="minorHAnsi" w:cs="Arial"/>
          <w:lang w:eastAsia="en-US"/>
        </w:rPr>
      </w:pPr>
    </w:p>
    <w:p w14:paraId="5FFBD98A" w14:textId="276689C1" w:rsidR="00D36856" w:rsidRPr="0000028F" w:rsidRDefault="00D36856" w:rsidP="00D36856">
      <w:pPr>
        <w:widowControl/>
        <w:autoSpaceDE/>
        <w:autoSpaceDN/>
        <w:adjustRightInd/>
        <w:rPr>
          <w:rFonts w:eastAsiaTheme="minorHAnsi" w:cs="Arial"/>
          <w:b/>
          <w:i/>
          <w:lang w:eastAsia="en-US"/>
        </w:rPr>
      </w:pPr>
      <w:r w:rsidRPr="0000028F">
        <w:rPr>
          <w:rFonts w:eastAsiaTheme="minorHAnsi" w:cs="Arial"/>
          <w:b/>
          <w:i/>
          <w:lang w:eastAsia="en-US"/>
        </w:rPr>
        <w:t xml:space="preserve">Pokazatelji rezultata za ostvarenje općeg cilja </w:t>
      </w:r>
    </w:p>
    <w:p w14:paraId="22298CAA" w14:textId="56249082" w:rsidR="00F23877" w:rsidRPr="0000028F" w:rsidRDefault="00F23877" w:rsidP="000258A0">
      <w:pPr>
        <w:widowControl/>
        <w:autoSpaceDE/>
        <w:autoSpaceDN/>
        <w:adjustRightInd/>
        <w:rPr>
          <w:rFonts w:eastAsiaTheme="minorHAnsi" w:cs="Arial"/>
          <w:lang w:eastAsia="en-US"/>
        </w:rPr>
      </w:pPr>
    </w:p>
    <w:p w14:paraId="24A64947" w14:textId="7777777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 xml:space="preserve">Opći cilj ostvaruje se obavljanjem temeljne zadaće Državnog ureda za reviziju kroz obavljanje revizija u skladu s odredbama Zakona o Državnom uredu za reviziju. Akcijskim planom za provođenje Strateškog plana za razdoblje 2023. – 2027., Programom i planom </w:t>
      </w:r>
      <w:r w:rsidRPr="002C14FD">
        <w:rPr>
          <w:rFonts w:eastAsiaTheme="minorHAnsi" w:cstheme="minorBidi"/>
          <w:szCs w:val="22"/>
          <w:lang w:eastAsia="en-US"/>
        </w:rPr>
        <w:lastRenderedPageBreak/>
        <w:t xml:space="preserve">rada Ureda za 2023. te Izmjenama i dopunama Programa i plana rada Ureda za 2023. utvrđeni su pokazatelji ostvarenja općeg cilja, odnosno planirana je vrsta i broj revizija. </w:t>
      </w:r>
    </w:p>
    <w:p w14:paraId="1A55FBBE" w14:textId="77777777" w:rsidR="002C14FD" w:rsidRPr="002C14FD" w:rsidRDefault="002C14FD" w:rsidP="002C14FD">
      <w:pPr>
        <w:widowControl/>
        <w:autoSpaceDE/>
        <w:autoSpaceDN/>
        <w:adjustRightInd/>
        <w:rPr>
          <w:rFonts w:eastAsiaTheme="minorHAnsi" w:cstheme="minorBidi"/>
          <w:szCs w:val="22"/>
          <w:lang w:eastAsia="en-US"/>
        </w:rPr>
      </w:pPr>
    </w:p>
    <w:p w14:paraId="6FA75E6B" w14:textId="7777777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Opseg godišnjeg programa rada i plana rada Ureda utvrđen je na temelju:</w:t>
      </w:r>
    </w:p>
    <w:p w14:paraId="02DE2A22"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odredbi navedenog Zakona</w:t>
      </w:r>
    </w:p>
    <w:p w14:paraId="20030630"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procjene rizika</w:t>
      </w:r>
    </w:p>
    <w:p w14:paraId="2F111CE2"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financijske značajnosti subjekta revizije</w:t>
      </w:r>
    </w:p>
    <w:p w14:paraId="3E8DD27C"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rezultata prijašnjih revizija te</w:t>
      </w:r>
    </w:p>
    <w:p w14:paraId="61D0A45B"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prikupljenih informacija iz različitih izvora o poslovanju subjekata revizije.</w:t>
      </w:r>
    </w:p>
    <w:p w14:paraId="1C3E1193" w14:textId="77777777" w:rsidR="002C14FD" w:rsidRPr="002C14FD" w:rsidRDefault="002C14FD" w:rsidP="002C14FD">
      <w:pPr>
        <w:widowControl/>
        <w:autoSpaceDE/>
        <w:autoSpaceDN/>
        <w:adjustRightInd/>
        <w:rPr>
          <w:rFonts w:eastAsiaTheme="minorHAnsi" w:cstheme="minorBidi"/>
          <w:szCs w:val="22"/>
          <w:lang w:eastAsia="en-US"/>
        </w:rPr>
      </w:pPr>
    </w:p>
    <w:p w14:paraId="1434F811" w14:textId="0BE3956F"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 xml:space="preserve">Programom i planom rada Ureda za 2023. te Izmjenama i dopunama Programa i plana rada Ureda za 2023. planirano je obaviti 217 revizija, od kojih se 184 odnosilo na financijske revizije, 29 na revizije učinkovitosti i četiri na revizije </w:t>
      </w:r>
      <w:r w:rsidR="00ED5700">
        <w:rPr>
          <w:rFonts w:eastAsiaTheme="minorHAnsi" w:cstheme="minorBidi"/>
          <w:szCs w:val="22"/>
          <w:lang w:eastAsia="en-US"/>
        </w:rPr>
        <w:t xml:space="preserve">usklađenosti, kojima je ukupno </w:t>
      </w:r>
      <w:r w:rsidRPr="002C14FD">
        <w:rPr>
          <w:rFonts w:eastAsiaTheme="minorHAnsi" w:cstheme="minorBidi"/>
          <w:szCs w:val="22"/>
          <w:lang w:eastAsia="en-US"/>
        </w:rPr>
        <w:t>planirano obuhvatiti 230 subjek</w:t>
      </w:r>
      <w:r w:rsidR="009C289E">
        <w:rPr>
          <w:rFonts w:eastAsiaTheme="minorHAnsi" w:cstheme="minorBidi"/>
          <w:szCs w:val="22"/>
          <w:lang w:eastAsia="en-US"/>
        </w:rPr>
        <w:t>a</w:t>
      </w:r>
      <w:r w:rsidRPr="002C14FD">
        <w:rPr>
          <w:rFonts w:eastAsiaTheme="minorHAnsi" w:cstheme="minorBidi"/>
          <w:szCs w:val="22"/>
          <w:lang w:eastAsia="en-US"/>
        </w:rPr>
        <w:t>ta revizije. Osim toga, bilo je planirano obaviti i dvije provjere provedbe naloga i preporuka (u okviru zasebnog revizijskog postupka) za dva subjekta revizije.</w:t>
      </w:r>
    </w:p>
    <w:p w14:paraId="4F1D587A" w14:textId="77777777" w:rsidR="002C14FD" w:rsidRPr="002C14FD" w:rsidRDefault="002C14FD" w:rsidP="002C14FD">
      <w:pPr>
        <w:widowControl/>
        <w:autoSpaceDE/>
        <w:autoSpaceDN/>
        <w:adjustRightInd/>
        <w:rPr>
          <w:rFonts w:eastAsiaTheme="minorHAnsi" w:cstheme="minorBidi"/>
          <w:szCs w:val="22"/>
          <w:lang w:eastAsia="en-US"/>
        </w:rPr>
      </w:pPr>
    </w:p>
    <w:p w14:paraId="33D811EB"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ab/>
        <w:t>Obavljena je 181 revizija, i to 147 financijskih revizija, 29 revizija učinkovitosti te pet revizija usklađenosti, kojima je ukupno obuhvaćeno 196 subjekata revizije.</w:t>
      </w:r>
    </w:p>
    <w:p w14:paraId="033436CC" w14:textId="520C2850"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ab/>
        <w:t>U tijeku je 46 revizija te dvije provjere provedbe naloga i preporuka, koje su bile planirane i započele u 2023., a bit će završene tijekom 2024. Osim navedenog</w:t>
      </w:r>
      <w:r w:rsidR="009C289E">
        <w:rPr>
          <w:rFonts w:eastAsiaTheme="minorHAnsi" w:cstheme="minorBidi"/>
          <w:szCs w:val="22"/>
          <w:lang w:eastAsia="en-US"/>
        </w:rPr>
        <w:t>,</w:t>
      </w:r>
      <w:r w:rsidRPr="002C14FD">
        <w:rPr>
          <w:rFonts w:eastAsiaTheme="minorHAnsi" w:cstheme="minorBidi"/>
          <w:szCs w:val="22"/>
          <w:lang w:eastAsia="en-US"/>
        </w:rPr>
        <w:t xml:space="preserve"> kod 295 subjekata revizije obavljena je provjera jesu li navedeni subjekti donijeli i objavili akte strateškog planiranja.</w:t>
      </w:r>
    </w:p>
    <w:p w14:paraId="07CBF9FD" w14:textId="68692BFD" w:rsidR="00A350A2" w:rsidRPr="002C14FD" w:rsidRDefault="00120EA9" w:rsidP="002C14FD">
      <w:pPr>
        <w:widowControl/>
        <w:autoSpaceDE/>
        <w:autoSpaceDN/>
        <w:adjustRightInd/>
        <w:ind w:firstLine="708"/>
        <w:rPr>
          <w:rFonts w:eastAsiaTheme="minorHAnsi" w:cstheme="minorBidi"/>
          <w:szCs w:val="22"/>
          <w:lang w:eastAsia="en-US"/>
        </w:rPr>
      </w:pPr>
      <w:r>
        <w:rPr>
          <w:rFonts w:eastAsiaTheme="minorHAnsi" w:cstheme="minorBidi"/>
          <w:szCs w:val="22"/>
          <w:lang w:eastAsia="en-US"/>
        </w:rPr>
        <w:t>Prema navedeni</w:t>
      </w:r>
      <w:r w:rsidR="002C14FD" w:rsidRPr="002C14FD">
        <w:rPr>
          <w:rFonts w:eastAsiaTheme="minorHAnsi" w:cstheme="minorBidi"/>
          <w:szCs w:val="22"/>
          <w:lang w:eastAsia="en-US"/>
        </w:rPr>
        <w:t xml:space="preserve">m revizijama i provjerama provedbe naloga i preporuka, obuhvaćen je ukupno 491 subjekt revizije. Subjektima revizije </w:t>
      </w:r>
      <w:r w:rsidR="009C289E">
        <w:rPr>
          <w:rFonts w:eastAsiaTheme="minorHAnsi" w:cstheme="minorBidi"/>
          <w:szCs w:val="22"/>
          <w:lang w:eastAsia="en-US"/>
        </w:rPr>
        <w:t>je za</w:t>
      </w:r>
      <w:r w:rsidR="002C14FD" w:rsidRPr="002C14FD">
        <w:rPr>
          <w:rFonts w:eastAsiaTheme="minorHAnsi" w:cstheme="minorBidi"/>
          <w:szCs w:val="22"/>
          <w:lang w:eastAsia="en-US"/>
        </w:rPr>
        <w:t xml:space="preserve"> sve utvrđene nepravilnosti i pro</w:t>
      </w:r>
      <w:r w:rsidR="009C289E">
        <w:rPr>
          <w:rFonts w:eastAsiaTheme="minorHAnsi" w:cstheme="minorBidi"/>
          <w:szCs w:val="22"/>
          <w:lang w:eastAsia="en-US"/>
        </w:rPr>
        <w:t>puste dano</w:t>
      </w:r>
      <w:r w:rsidR="002C14FD" w:rsidRPr="002C14FD">
        <w:rPr>
          <w:rFonts w:eastAsiaTheme="minorHAnsi" w:cstheme="minorBidi"/>
          <w:szCs w:val="22"/>
          <w:lang w:eastAsia="en-US"/>
        </w:rPr>
        <w:t xml:space="preserve"> 2 0</w:t>
      </w:r>
      <w:r w:rsidR="004352A2">
        <w:rPr>
          <w:rFonts w:eastAsiaTheme="minorHAnsi" w:cstheme="minorBidi"/>
          <w:szCs w:val="22"/>
          <w:lang w:eastAsia="en-US"/>
        </w:rPr>
        <w:t>4</w:t>
      </w:r>
      <w:r w:rsidR="009C289E">
        <w:rPr>
          <w:rFonts w:eastAsiaTheme="minorHAnsi" w:cstheme="minorBidi"/>
          <w:szCs w:val="22"/>
          <w:lang w:eastAsia="en-US"/>
        </w:rPr>
        <w:t>5 naloga i preporuka</w:t>
      </w:r>
      <w:r w:rsidR="002C14FD" w:rsidRPr="002C14FD">
        <w:rPr>
          <w:rFonts w:eastAsiaTheme="minorHAnsi" w:cstheme="minorBidi"/>
          <w:szCs w:val="22"/>
          <w:lang w:eastAsia="en-US"/>
        </w:rPr>
        <w:t>.</w:t>
      </w:r>
    </w:p>
    <w:p w14:paraId="200EBF86" w14:textId="77777777" w:rsidR="00A350A2" w:rsidRPr="0000028F" w:rsidRDefault="00A350A2" w:rsidP="002A3E6D">
      <w:pPr>
        <w:widowControl/>
        <w:autoSpaceDE/>
        <w:autoSpaceDN/>
        <w:adjustRightInd/>
        <w:ind w:firstLine="567"/>
        <w:rPr>
          <w:rFonts w:eastAsiaTheme="minorHAnsi" w:cs="Arial"/>
          <w:lang w:eastAsia="en-US"/>
        </w:rPr>
      </w:pPr>
    </w:p>
    <w:p w14:paraId="670F1B09" w14:textId="77777777" w:rsidR="00991135" w:rsidRPr="0000028F" w:rsidRDefault="00F23877" w:rsidP="00F23877">
      <w:pPr>
        <w:widowControl/>
        <w:autoSpaceDE/>
        <w:autoSpaceDN/>
        <w:adjustRightInd/>
        <w:rPr>
          <w:rFonts w:eastAsiaTheme="minorHAnsi" w:cs="Arial"/>
          <w:b/>
          <w:i/>
          <w:lang w:eastAsia="en-US"/>
        </w:rPr>
      </w:pPr>
      <w:r w:rsidRPr="0000028F">
        <w:rPr>
          <w:rFonts w:eastAsiaTheme="minorHAnsi" w:cs="Arial"/>
          <w:b/>
          <w:i/>
          <w:lang w:eastAsia="en-US"/>
        </w:rPr>
        <w:t>Pokazatelji rezultata za ostvarenje posebnih ciljeva</w:t>
      </w:r>
      <w:r w:rsidR="00991135" w:rsidRPr="0000028F">
        <w:rPr>
          <w:rFonts w:eastAsiaTheme="minorHAnsi" w:cs="Arial"/>
          <w:b/>
          <w:i/>
          <w:lang w:eastAsia="en-US"/>
        </w:rPr>
        <w:t xml:space="preserve"> </w:t>
      </w:r>
    </w:p>
    <w:p w14:paraId="53478C97" w14:textId="56AD4411" w:rsidR="00F23877" w:rsidRDefault="00F23877" w:rsidP="00F23877">
      <w:pPr>
        <w:widowControl/>
        <w:autoSpaceDE/>
        <w:autoSpaceDN/>
        <w:adjustRightInd/>
        <w:rPr>
          <w:rFonts w:eastAsiaTheme="minorHAnsi" w:cs="Arial"/>
          <w:b/>
          <w:i/>
          <w:lang w:eastAsia="en-US"/>
        </w:rPr>
      </w:pPr>
    </w:p>
    <w:p w14:paraId="6B1EAF9D" w14:textId="77777777" w:rsidR="002C14FD" w:rsidRPr="002C14FD" w:rsidRDefault="002C14FD" w:rsidP="002C14FD">
      <w:pPr>
        <w:widowControl/>
        <w:autoSpaceDE/>
        <w:autoSpaceDN/>
        <w:adjustRightInd/>
        <w:ind w:firstLine="708"/>
        <w:rPr>
          <w:rFonts w:eastAsiaTheme="minorHAnsi" w:cstheme="minorBidi"/>
          <w:szCs w:val="22"/>
          <w:lang w:eastAsia="en-US"/>
        </w:rPr>
      </w:pPr>
      <w:r w:rsidRPr="002C14FD">
        <w:rPr>
          <w:rFonts w:eastAsiaTheme="minorHAnsi" w:cstheme="minorBidi"/>
          <w:szCs w:val="22"/>
          <w:lang w:eastAsia="en-US"/>
        </w:rPr>
        <w:t>Pokazatelji se odnose na aktivnosti koje je Ured planirao provesti u 2023. prema Akcijskom planu za provođenje Strateškog plana za razdoblje 2023. – 2027., Godišnjem planu i programu rada za 2023. te Izmjenama i dopunama Programa i plana rada Ureda za 2023.</w:t>
      </w:r>
    </w:p>
    <w:p w14:paraId="5019294D" w14:textId="77777777" w:rsidR="002C14FD" w:rsidRPr="0000028F" w:rsidRDefault="002C14FD" w:rsidP="00F23877">
      <w:pPr>
        <w:widowControl/>
        <w:autoSpaceDE/>
        <w:autoSpaceDN/>
        <w:adjustRightInd/>
        <w:rPr>
          <w:rFonts w:eastAsiaTheme="minorHAnsi" w:cs="Arial"/>
          <w:b/>
          <w:i/>
          <w:lang w:eastAsia="en-US"/>
        </w:rPr>
      </w:pPr>
    </w:p>
    <w:p w14:paraId="60CD7BAD" w14:textId="77777777" w:rsidR="00F23877" w:rsidRPr="0000028F" w:rsidRDefault="00F23877" w:rsidP="00F23877">
      <w:pPr>
        <w:rPr>
          <w:rFonts w:cs="Arial"/>
          <w:b/>
          <w:i/>
        </w:rPr>
      </w:pPr>
      <w:r w:rsidRPr="0000028F">
        <w:rPr>
          <w:rFonts w:cs="Arial"/>
          <w:b/>
          <w:i/>
        </w:rPr>
        <w:t xml:space="preserve">Posebni cilj 1.1. Ojačati institucionalni i pravni okvir  </w:t>
      </w:r>
    </w:p>
    <w:p w14:paraId="460E7FBA" w14:textId="77777777" w:rsidR="00F23877" w:rsidRPr="0000028F" w:rsidRDefault="00F23877" w:rsidP="00F23877">
      <w:pPr>
        <w:rPr>
          <w:rFonts w:cs="Arial"/>
          <w:b/>
          <w:sz w:val="28"/>
          <w:szCs w:val="28"/>
        </w:rPr>
      </w:pPr>
    </w:p>
    <w:p w14:paraId="2D2D2BE7" w14:textId="77777777" w:rsidR="002C14FD" w:rsidRPr="002C14FD" w:rsidRDefault="002C14FD" w:rsidP="002C14FD">
      <w:pPr>
        <w:widowControl/>
        <w:autoSpaceDE/>
        <w:autoSpaceDN/>
        <w:adjustRightInd/>
        <w:ind w:firstLine="567"/>
        <w:rPr>
          <w:rFonts w:eastAsiaTheme="minorHAnsi" w:cstheme="minorBidi"/>
          <w:szCs w:val="22"/>
          <w:lang w:eastAsia="en-US"/>
        </w:rPr>
      </w:pPr>
      <w:r w:rsidRPr="002C14FD">
        <w:rPr>
          <w:rFonts w:eastAsiaTheme="minorHAnsi" w:cstheme="minorBidi"/>
          <w:szCs w:val="22"/>
          <w:lang w:eastAsia="en-US"/>
        </w:rPr>
        <w:t>U vezi s aktivnosti koja se odnosi na očuvanje neovisnosti, Ured je poduzimao velike napore kako bi se očuvala neovisnost Ureda, i to financijska, operativna i funkcionalna.</w:t>
      </w:r>
    </w:p>
    <w:p w14:paraId="38FA00A7" w14:textId="0900903F" w:rsidR="002C14FD" w:rsidRPr="002C14FD" w:rsidRDefault="002C14FD" w:rsidP="002C14FD">
      <w:pPr>
        <w:widowControl/>
        <w:autoSpaceDE/>
        <w:autoSpaceDN/>
        <w:adjustRightInd/>
        <w:ind w:firstLine="567"/>
        <w:rPr>
          <w:lang w:eastAsia="en-US"/>
        </w:rPr>
      </w:pPr>
      <w:r w:rsidRPr="002C14FD">
        <w:rPr>
          <w:lang w:eastAsia="en-US"/>
        </w:rPr>
        <w:t xml:space="preserve">Tijekom 2023. </w:t>
      </w:r>
      <w:r w:rsidR="004352A2" w:rsidRPr="00F65AFC">
        <w:rPr>
          <w:lang w:eastAsia="en-US"/>
        </w:rPr>
        <w:t>predstavnici</w:t>
      </w:r>
      <w:r w:rsidR="004352A2">
        <w:rPr>
          <w:color w:val="FF0000"/>
          <w:lang w:eastAsia="en-US"/>
        </w:rPr>
        <w:t xml:space="preserve"> </w:t>
      </w:r>
      <w:r w:rsidRPr="002C14FD">
        <w:rPr>
          <w:lang w:eastAsia="en-US"/>
        </w:rPr>
        <w:t>Ured</w:t>
      </w:r>
      <w:r w:rsidR="004352A2">
        <w:rPr>
          <w:lang w:eastAsia="en-US"/>
        </w:rPr>
        <w:t>a</w:t>
      </w:r>
      <w:r w:rsidR="00A40B89">
        <w:rPr>
          <w:lang w:eastAsia="en-US"/>
        </w:rPr>
        <w:t xml:space="preserve"> sudjelovali su</w:t>
      </w:r>
      <w:r w:rsidRPr="002C14FD">
        <w:rPr>
          <w:lang w:eastAsia="en-US"/>
        </w:rPr>
        <w:t xml:space="preserve"> u radu Radne skupine koju je imenovao Odbor za financije i državni proračun Hrvatskog sabora kao nositelja izrade Prijedloga nacrta Zakona o Državnom uredu za reviziju. Donošenjem novog Zakona o Državnom uredu za reviziju osigurali bi se</w:t>
      </w:r>
      <w:r w:rsidR="00A40B89">
        <w:rPr>
          <w:lang w:eastAsia="en-US"/>
        </w:rPr>
        <w:t>,</w:t>
      </w:r>
      <w:r w:rsidRPr="002C14FD">
        <w:rPr>
          <w:lang w:eastAsia="en-US"/>
        </w:rPr>
        <w:t xml:space="preserve"> između ostalog i preduvjeti za jačanje kapaciteta te unaprjeđenje metodologije rada Ureda. Također, Ured</w:t>
      </w:r>
      <w:r w:rsidR="00A40B89">
        <w:rPr>
          <w:lang w:eastAsia="en-US"/>
        </w:rPr>
        <w:t xml:space="preserve"> je poduzimao aktivnost</w:t>
      </w:r>
      <w:r w:rsidR="003A0990">
        <w:rPr>
          <w:lang w:eastAsia="en-US"/>
        </w:rPr>
        <w:t>i</w:t>
      </w:r>
      <w:r w:rsidR="00A40B89">
        <w:rPr>
          <w:lang w:eastAsia="en-US"/>
        </w:rPr>
        <w:t xml:space="preserve"> vezane </w:t>
      </w:r>
      <w:r w:rsidRPr="002C14FD">
        <w:rPr>
          <w:lang w:eastAsia="en-US"/>
        </w:rPr>
        <w:t>z</w:t>
      </w:r>
      <w:r w:rsidR="00A40B89">
        <w:rPr>
          <w:lang w:eastAsia="en-US"/>
        </w:rPr>
        <w:t>a</w:t>
      </w:r>
      <w:r w:rsidRPr="002C14FD">
        <w:rPr>
          <w:lang w:eastAsia="en-US"/>
        </w:rPr>
        <w:t xml:space="preserve"> jačanje neovisnosti Ureda</w:t>
      </w:r>
      <w:r w:rsidR="00A40B89">
        <w:rPr>
          <w:lang w:eastAsia="en-US"/>
        </w:rPr>
        <w:t>,</w:t>
      </w:r>
      <w:r w:rsidRPr="002C14FD">
        <w:rPr>
          <w:lang w:eastAsia="en-US"/>
        </w:rPr>
        <w:t xml:space="preserve"> kako financijske</w:t>
      </w:r>
      <w:r w:rsidR="00A40B89">
        <w:rPr>
          <w:lang w:eastAsia="en-US"/>
        </w:rPr>
        <w:t>,</w:t>
      </w:r>
      <w:r w:rsidRPr="002C14FD">
        <w:rPr>
          <w:lang w:eastAsia="en-US"/>
        </w:rPr>
        <w:t xml:space="preserve"> tako i funkcionalne i operativne u skladu s Međunarodnim standardima vrhovnih revizijskih institucija.</w:t>
      </w:r>
    </w:p>
    <w:p w14:paraId="69F7E84C" w14:textId="77777777" w:rsidR="002C14FD" w:rsidRPr="002C14FD" w:rsidRDefault="002C14FD" w:rsidP="002C14FD">
      <w:pPr>
        <w:widowControl/>
        <w:autoSpaceDE/>
        <w:autoSpaceDN/>
        <w:adjustRightInd/>
        <w:rPr>
          <w:rFonts w:eastAsiaTheme="minorHAnsi" w:cstheme="minorBidi"/>
          <w:szCs w:val="22"/>
          <w:lang w:eastAsia="en-US"/>
        </w:rPr>
      </w:pPr>
    </w:p>
    <w:p w14:paraId="66979F72" w14:textId="77777777" w:rsidR="002C14FD" w:rsidRPr="002C14FD" w:rsidRDefault="002C14FD" w:rsidP="002C14FD">
      <w:pPr>
        <w:widowControl/>
        <w:autoSpaceDE/>
        <w:autoSpaceDN/>
        <w:adjustRightInd/>
        <w:ind w:firstLine="567"/>
        <w:rPr>
          <w:rFonts w:eastAsia="Calibri"/>
          <w:lang w:eastAsia="en-US"/>
        </w:rPr>
      </w:pPr>
      <w:r w:rsidRPr="002C14FD">
        <w:rPr>
          <w:rFonts w:eastAsiaTheme="minorHAnsi" w:cstheme="minorBidi"/>
          <w:szCs w:val="22"/>
          <w:lang w:eastAsia="en-US"/>
        </w:rPr>
        <w:t xml:space="preserve">Također, tijekom 2023. provodile su se planirane aktivnosti koje se odnose na dobro upravljanje. </w:t>
      </w:r>
      <w:r w:rsidRPr="002C14FD">
        <w:rPr>
          <w:rFonts w:eastAsia="Calibri"/>
          <w:lang w:eastAsia="en-US"/>
        </w:rPr>
        <w:t xml:space="preserve">Odjel unutarnje revizije obavio je reviziju primjene propisane metodologije i procedura rada pri obavljanju revizija u skladu s godišnjim planovima </w:t>
      </w:r>
      <w:r w:rsidRPr="002C14FD">
        <w:rPr>
          <w:rFonts w:eastAsia="Calibri" w:cs="Arial"/>
          <w:bCs/>
          <w:lang w:eastAsia="en-US"/>
        </w:rPr>
        <w:t xml:space="preserve">te je utvrđeno da je sustav unutarnjih kontrola uspostavljen i da se primjenjuje, odnosno izraženo je mišljenje da je navedeni sustav učinkovit. </w:t>
      </w:r>
      <w:r w:rsidRPr="002C14FD">
        <w:rPr>
          <w:rFonts w:eastAsia="Calibri"/>
          <w:lang w:eastAsia="en-US"/>
        </w:rPr>
        <w:t xml:space="preserve"> </w:t>
      </w:r>
    </w:p>
    <w:p w14:paraId="61CCD192" w14:textId="3EFE303E" w:rsidR="002C14FD" w:rsidRPr="002C14FD" w:rsidRDefault="002C14FD" w:rsidP="002C14FD">
      <w:pPr>
        <w:widowControl/>
        <w:autoSpaceDE/>
        <w:autoSpaceDN/>
        <w:adjustRightInd/>
        <w:ind w:firstLine="567"/>
        <w:rPr>
          <w:rFonts w:eastAsiaTheme="minorHAnsi" w:cstheme="minorBidi"/>
          <w:szCs w:val="22"/>
          <w:lang w:eastAsia="en-US"/>
        </w:rPr>
      </w:pPr>
      <w:r w:rsidRPr="002C14FD">
        <w:rPr>
          <w:rFonts w:eastAsia="Calibri" w:cs="Calibri"/>
          <w:lang w:eastAsia="en-US"/>
        </w:rPr>
        <w:lastRenderedPageBreak/>
        <w:t>Neovisni vanjski revizor obavio je reviziju Godišnjih financijskih izvještaja Ureda te izrazio mišljenje da godišnji financijski izvještaji u svim odrednicama, istinito i fer prikazuju financijski položaj Ureda na dan</w:t>
      </w:r>
      <w:r w:rsidR="004705C5">
        <w:rPr>
          <w:rFonts w:eastAsia="Calibri" w:cs="Calibri"/>
          <w:lang w:eastAsia="en-US"/>
        </w:rPr>
        <w:t xml:space="preserve"> 31. prosinca 2023.</w:t>
      </w:r>
      <w:r w:rsidRPr="002C14FD">
        <w:rPr>
          <w:rFonts w:eastAsia="Calibri" w:cs="Calibri"/>
          <w:lang w:eastAsia="en-US"/>
        </w:rPr>
        <w:t xml:space="preserve"> te financijsku uspješnost ispunjenja postavljenih ciljeva (poslovanja) Ureda za 2023. sukladno Pravilniku o financijskom izvještavanju o proračunskom računovodstvu.</w:t>
      </w:r>
    </w:p>
    <w:p w14:paraId="0990C33B" w14:textId="77777777" w:rsidR="002C14FD" w:rsidRPr="002C14FD" w:rsidRDefault="002C14FD" w:rsidP="002C14FD">
      <w:pPr>
        <w:widowControl/>
        <w:autoSpaceDE/>
        <w:autoSpaceDN/>
        <w:adjustRightInd/>
        <w:ind w:firstLine="567"/>
        <w:rPr>
          <w:rFonts w:eastAsiaTheme="minorHAnsi" w:cstheme="minorBidi"/>
          <w:szCs w:val="22"/>
          <w:lang w:eastAsia="en-US"/>
        </w:rPr>
      </w:pPr>
      <w:r w:rsidRPr="002C14FD">
        <w:rPr>
          <w:rFonts w:eastAsiaTheme="minorHAnsi" w:cstheme="minorBidi"/>
          <w:szCs w:val="22"/>
          <w:lang w:eastAsia="en-US"/>
        </w:rPr>
        <w:t xml:space="preserve">Ured kontinuirano poduzima aktivnosti kako bi primijenio načela transparentnosti i odgovornosti te se sva izvješća o obavljenim revizijama i drugi dokumenti objavljuju na mrežnim stranicama Ureda. </w:t>
      </w:r>
    </w:p>
    <w:p w14:paraId="119E6536" w14:textId="77777777" w:rsidR="002C14FD" w:rsidRPr="002C14FD" w:rsidRDefault="002C14FD" w:rsidP="002C14FD">
      <w:pPr>
        <w:widowControl/>
        <w:autoSpaceDE/>
        <w:autoSpaceDN/>
        <w:adjustRightInd/>
        <w:rPr>
          <w:rFonts w:eastAsiaTheme="minorHAnsi" w:cstheme="minorBidi"/>
          <w:szCs w:val="22"/>
          <w:lang w:eastAsia="en-US"/>
        </w:rPr>
      </w:pPr>
    </w:p>
    <w:p w14:paraId="6FF6F9B6" w14:textId="77777777" w:rsidR="00991135" w:rsidRPr="0000028F" w:rsidRDefault="00991135" w:rsidP="00F23877">
      <w:pPr>
        <w:rPr>
          <w:rFonts w:cs="Arial"/>
        </w:rPr>
      </w:pPr>
    </w:p>
    <w:p w14:paraId="70B7CEC8" w14:textId="77777777" w:rsidR="00F23877" w:rsidRPr="0000028F" w:rsidRDefault="00F23877" w:rsidP="00F23877">
      <w:pPr>
        <w:rPr>
          <w:rFonts w:cs="Arial"/>
          <w:b/>
          <w:i/>
        </w:rPr>
      </w:pPr>
      <w:r w:rsidRPr="0000028F">
        <w:rPr>
          <w:rFonts w:cs="Arial"/>
          <w:b/>
          <w:i/>
        </w:rPr>
        <w:t xml:space="preserve">Posebni cilj 1.2. Razvoj kapaciteta Ureda </w:t>
      </w:r>
    </w:p>
    <w:p w14:paraId="5684B2D6" w14:textId="77777777" w:rsidR="00F23877" w:rsidRPr="0000028F" w:rsidRDefault="00F23877" w:rsidP="00F23877">
      <w:pPr>
        <w:rPr>
          <w:rFonts w:cs="Arial"/>
          <w:b/>
        </w:rPr>
      </w:pPr>
    </w:p>
    <w:p w14:paraId="30108315" w14:textId="77777777" w:rsidR="002C14FD" w:rsidRPr="002C14FD" w:rsidRDefault="002C14FD" w:rsidP="002C14FD">
      <w:pPr>
        <w:widowControl/>
        <w:autoSpaceDE/>
        <w:autoSpaceDN/>
        <w:adjustRightInd/>
        <w:ind w:firstLine="567"/>
        <w:rPr>
          <w:rFonts w:eastAsiaTheme="minorHAnsi" w:cstheme="minorBidi"/>
          <w:szCs w:val="22"/>
          <w:lang w:eastAsia="en-US"/>
        </w:rPr>
      </w:pPr>
      <w:r w:rsidRPr="002C14FD">
        <w:rPr>
          <w:lang w:eastAsia="en-US"/>
        </w:rPr>
        <w:t>Ured je kroz izobrazbu zaposlenika osigurao preduvjete za profesionalan i etičan te odgovoran i transparentan način obavljanja revizije. U skladu s Godišnjim programom i planom stručnog usavršavanja i izobrazbe u Državnom uredu za reviziju za 2023., održan je godišnji seminar za zaposlenike Ureda te je organizirano stručno usavršavanje zaposlenika u organizaciji Ureda i drugih institucija u zemlji i inozemstvu.</w:t>
      </w:r>
      <w:r w:rsidRPr="004705C5">
        <w:rPr>
          <w:lang w:eastAsia="en-US"/>
        </w:rPr>
        <w:t xml:space="preserve"> U organizaciji Ureda, drugih stručnih institucija, međunarodnih institucija te kroz </w:t>
      </w:r>
      <w:proofErr w:type="spellStart"/>
      <w:r w:rsidRPr="004705C5">
        <w:rPr>
          <w:lang w:eastAsia="en-US"/>
        </w:rPr>
        <w:t>samoizobrazbu</w:t>
      </w:r>
      <w:proofErr w:type="spellEnd"/>
      <w:r w:rsidRPr="004705C5">
        <w:rPr>
          <w:lang w:eastAsia="en-US"/>
        </w:rPr>
        <w:t xml:space="preserve"> zaposlenika, ukupno su ostvarena 10 833 sata stručnog usavršavanja ili prosječno 38 sati</w:t>
      </w:r>
      <w:r w:rsidRPr="002C14FD">
        <w:rPr>
          <w:rFonts w:eastAsia="Calibri"/>
          <w:color w:val="3D3D3D"/>
          <w:lang w:eastAsia="en-US"/>
        </w:rPr>
        <w:t xml:space="preserve"> po zaposleniku. </w:t>
      </w:r>
      <w:r w:rsidRPr="002C14FD">
        <w:rPr>
          <w:rFonts w:eastAsiaTheme="minorHAnsi" w:cstheme="minorBidi"/>
          <w:szCs w:val="22"/>
          <w:lang w:eastAsia="en-US"/>
        </w:rPr>
        <w:t xml:space="preserve">Ažurirana je baza podataka o izobrazbi zaposlenika u okviru Odjela za planiranje, metodologiju i razvoj s podacima o ostvarenim satima izobrazbe. </w:t>
      </w:r>
    </w:p>
    <w:p w14:paraId="04818C95" w14:textId="77777777" w:rsidR="002C14FD" w:rsidRPr="002C14FD" w:rsidRDefault="002C14FD" w:rsidP="002C14FD">
      <w:pPr>
        <w:widowControl/>
        <w:autoSpaceDE/>
        <w:autoSpaceDN/>
        <w:adjustRightInd/>
        <w:ind w:firstLine="567"/>
        <w:rPr>
          <w:rFonts w:eastAsiaTheme="minorHAnsi" w:cstheme="minorBidi"/>
          <w:szCs w:val="22"/>
          <w:lang w:eastAsia="en-US"/>
        </w:rPr>
      </w:pPr>
    </w:p>
    <w:p w14:paraId="78FADC55" w14:textId="77777777" w:rsidR="002C14FD" w:rsidRPr="002C14FD" w:rsidRDefault="002C14FD" w:rsidP="002C14FD">
      <w:pPr>
        <w:widowControl/>
        <w:autoSpaceDE/>
        <w:autoSpaceDN/>
        <w:adjustRightInd/>
        <w:ind w:firstLine="567"/>
        <w:rPr>
          <w:lang w:eastAsia="en-US"/>
        </w:rPr>
      </w:pPr>
      <w:r w:rsidRPr="002C14FD">
        <w:rPr>
          <w:lang w:eastAsia="en-US"/>
        </w:rPr>
        <w:t>Osim navedenog, nastavljeni su poslovi na unaprjeđenju informacijskog sustava za praćenje tijeka revizije uvođenjem novog modula u vezi s dostavom revizijske dokumentacije. Moderniziran je IT sustav Ureda nabavom nove opreme. U</w:t>
      </w:r>
      <w:r w:rsidRPr="002C14FD">
        <w:rPr>
          <w:rFonts w:eastAsiaTheme="minorHAnsi" w:cstheme="minorBidi"/>
          <w:szCs w:val="22"/>
          <w:lang w:eastAsia="en-US"/>
        </w:rPr>
        <w:t xml:space="preserve"> tijeku su pripremne aktivnosti za primjenu IT alata u revizijskim postupcima. </w:t>
      </w:r>
      <w:r w:rsidRPr="002C14FD">
        <w:rPr>
          <w:lang w:eastAsia="en-US"/>
        </w:rPr>
        <w:t>Nadograđena je Intranet stranica Ureda, koja je važan alat unutarnje komunikacije i informiranja zaposlenih.</w:t>
      </w:r>
    </w:p>
    <w:p w14:paraId="1F66DCEE" w14:textId="4FED86A3" w:rsidR="00DD0AD0" w:rsidRDefault="00DD0AD0" w:rsidP="00F23877">
      <w:pPr>
        <w:rPr>
          <w:rFonts w:cs="Arial"/>
          <w:b/>
        </w:rPr>
      </w:pPr>
    </w:p>
    <w:p w14:paraId="6652EC83" w14:textId="77777777" w:rsidR="00A350A2" w:rsidRDefault="00A350A2" w:rsidP="00F23877">
      <w:pPr>
        <w:rPr>
          <w:rFonts w:cs="Arial"/>
          <w:b/>
          <w:color w:val="C00000"/>
        </w:rPr>
      </w:pPr>
    </w:p>
    <w:p w14:paraId="04CA7260" w14:textId="656D1626" w:rsidR="00F23877" w:rsidRDefault="00F23877" w:rsidP="00F23877">
      <w:pPr>
        <w:rPr>
          <w:rFonts w:cs="Arial"/>
          <w:b/>
        </w:rPr>
      </w:pPr>
      <w:r w:rsidRPr="0000028F">
        <w:rPr>
          <w:rFonts w:cs="Arial"/>
          <w:b/>
        </w:rPr>
        <w:t xml:space="preserve">Posebni cilj 1.3. Razvoj i usklađenje metodologije i načina rada s ISSAI standardima </w:t>
      </w:r>
    </w:p>
    <w:p w14:paraId="24F79350" w14:textId="77777777" w:rsidR="002C14FD" w:rsidRPr="0000028F" w:rsidRDefault="002C14FD" w:rsidP="00F23877">
      <w:pPr>
        <w:rPr>
          <w:rFonts w:cs="Arial"/>
          <w:b/>
        </w:rPr>
      </w:pPr>
    </w:p>
    <w:p w14:paraId="77CEF1A2" w14:textId="05BD2126" w:rsidR="002C14FD" w:rsidRPr="002C14FD" w:rsidRDefault="002C14FD" w:rsidP="002C14FD">
      <w:pPr>
        <w:widowControl/>
        <w:autoSpaceDE/>
        <w:autoSpaceDN/>
        <w:adjustRightInd/>
        <w:ind w:firstLine="567"/>
        <w:rPr>
          <w:rFonts w:eastAsiaTheme="minorHAnsi" w:cstheme="minorBidi"/>
          <w:szCs w:val="22"/>
          <w:lang w:eastAsia="en-US"/>
        </w:rPr>
      </w:pPr>
      <w:r w:rsidRPr="002C14FD">
        <w:rPr>
          <w:rFonts w:eastAsiaTheme="minorHAnsi" w:cstheme="minorBidi"/>
          <w:szCs w:val="22"/>
          <w:lang w:eastAsia="en-US"/>
        </w:rPr>
        <w:t>U vezi s ostvarenjem posebnog cilja Razvoja i usklađenje metodologije i načina rada s ISSAI standardima, kontinuirano se prate izmjene Međunarodnih revizijskih standarda te su na hrvatski jezik prevedeni standardi ISSAI 200 i ISSAI 4900. S obzirom na to da je došlo do izmjene određenih ISSAI stand</w:t>
      </w:r>
      <w:r w:rsidR="00C03E39">
        <w:rPr>
          <w:rFonts w:eastAsiaTheme="minorHAnsi" w:cstheme="minorBidi"/>
          <w:szCs w:val="22"/>
          <w:lang w:eastAsia="en-US"/>
        </w:rPr>
        <w:t xml:space="preserve">arda, glavni državni revizor </w:t>
      </w:r>
      <w:r w:rsidRPr="002C14FD">
        <w:rPr>
          <w:rFonts w:eastAsiaTheme="minorHAnsi" w:cstheme="minorBidi"/>
          <w:szCs w:val="22"/>
          <w:lang w:eastAsia="en-US"/>
        </w:rPr>
        <w:t>donio</w:t>
      </w:r>
      <w:r w:rsidR="00C03E39">
        <w:rPr>
          <w:rFonts w:eastAsiaTheme="minorHAnsi" w:cstheme="minorBidi"/>
          <w:szCs w:val="22"/>
          <w:lang w:eastAsia="en-US"/>
        </w:rPr>
        <w:t xml:space="preserve"> je</w:t>
      </w:r>
      <w:r w:rsidRPr="002C14FD">
        <w:rPr>
          <w:rFonts w:eastAsiaTheme="minorHAnsi" w:cstheme="minorBidi"/>
          <w:szCs w:val="22"/>
          <w:lang w:eastAsia="en-US"/>
        </w:rPr>
        <w:t xml:space="preserve"> novu </w:t>
      </w:r>
      <w:r w:rsidRPr="002C14FD">
        <w:rPr>
          <w:lang w:eastAsia="en-US"/>
        </w:rPr>
        <w:t>Odluku o objavi okvira profesionalnih načela, standarda i smjernica Međunarodne organizacije vrhovnih revizijskih institucija (INTOSAI). U</w:t>
      </w:r>
      <w:r w:rsidRPr="002C14FD">
        <w:rPr>
          <w:rFonts w:eastAsiaTheme="minorHAnsi" w:cstheme="minorBidi"/>
          <w:szCs w:val="22"/>
          <w:lang w:eastAsia="en-US"/>
        </w:rPr>
        <w:t>sklađivanje priručnika za financijsku reviziju i reviziju učinkovitosti i obrazaca s ISSAI standardima je u tijeku. Osim toga, u tijeku je ažuriranje Smjernica za obavljanje revizije EU fondova u skladu s nadolazećim programskim razdobljima i izmjenama u propisima. Nadalje, kontinuirano se prati primjenjuje li se usvojena metodologija pri obavljanju revizijskih zadataka, posebno u dijelu koji se odnosi na:</w:t>
      </w:r>
    </w:p>
    <w:p w14:paraId="5918D028"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 xml:space="preserve">procjenu rizika </w:t>
      </w:r>
    </w:p>
    <w:p w14:paraId="27F6758F"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planiranje pojedinačnih revizija</w:t>
      </w:r>
    </w:p>
    <w:p w14:paraId="3508BF6C"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provedbu revizije</w:t>
      </w:r>
    </w:p>
    <w:p w14:paraId="2BA46F39"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izvješćivanje</w:t>
      </w:r>
    </w:p>
    <w:p w14:paraId="5E4BA124" w14:textId="77777777"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praćenje provedbe naloga i preporuka</w:t>
      </w:r>
    </w:p>
    <w:p w14:paraId="1671CE34" w14:textId="326621B5" w:rsidR="002C14FD" w:rsidRPr="002C14FD" w:rsidRDefault="002C14FD" w:rsidP="002C14FD">
      <w:pPr>
        <w:widowControl/>
        <w:autoSpaceDE/>
        <w:autoSpaceDN/>
        <w:adjustRightInd/>
        <w:rPr>
          <w:rFonts w:eastAsiaTheme="minorHAnsi" w:cstheme="minorBidi"/>
          <w:szCs w:val="22"/>
          <w:lang w:eastAsia="en-US"/>
        </w:rPr>
      </w:pPr>
      <w:r w:rsidRPr="002C14FD">
        <w:rPr>
          <w:rFonts w:eastAsiaTheme="minorHAnsi" w:cstheme="minorBidi"/>
          <w:szCs w:val="22"/>
          <w:lang w:eastAsia="en-US"/>
        </w:rPr>
        <w:t>•</w:t>
      </w:r>
      <w:r w:rsidRPr="002C14FD">
        <w:rPr>
          <w:rFonts w:eastAsiaTheme="minorHAnsi" w:cstheme="minorBidi"/>
          <w:szCs w:val="22"/>
          <w:lang w:eastAsia="en-US"/>
        </w:rPr>
        <w:tab/>
        <w:t>kontrolu kvalitete i osiguranje kvalitete</w:t>
      </w:r>
      <w:r w:rsidR="000505A4">
        <w:rPr>
          <w:rFonts w:eastAsiaTheme="minorHAnsi" w:cstheme="minorBidi"/>
          <w:szCs w:val="22"/>
          <w:lang w:eastAsia="en-US"/>
        </w:rPr>
        <w:t>.</w:t>
      </w:r>
    </w:p>
    <w:p w14:paraId="2700587D" w14:textId="77777777" w:rsidR="002C14FD" w:rsidRPr="002C14FD" w:rsidRDefault="002C14FD" w:rsidP="002C14FD">
      <w:pPr>
        <w:widowControl/>
        <w:autoSpaceDE/>
        <w:autoSpaceDN/>
        <w:adjustRightInd/>
        <w:ind w:firstLine="567"/>
        <w:rPr>
          <w:lang w:eastAsia="en-US"/>
        </w:rPr>
      </w:pPr>
      <w:r w:rsidRPr="002C14FD">
        <w:rPr>
          <w:lang w:eastAsia="en-US"/>
        </w:rPr>
        <w:t xml:space="preserve">Također, započele su aktivnosti na uvođenju agilnog pristupa reviziji, čije su glavne značajke kratak vremenski okvir za obavljanje revizije i izvještavanje o rezultatima reviziji kako bi rezultati revizije, odnosno dane preporuke u kratkom roku pridonijele otklanjanju </w:t>
      </w:r>
      <w:r w:rsidRPr="002C14FD">
        <w:rPr>
          <w:lang w:eastAsia="en-US"/>
        </w:rPr>
        <w:lastRenderedPageBreak/>
        <w:t>nepravilnosti i propusta te su sastavljene smjernice za primjenu agilnog pristupa revizije EU fondova.</w:t>
      </w:r>
      <w:r w:rsidRPr="002C14FD">
        <w:rPr>
          <w:rFonts w:eastAsiaTheme="minorHAnsi" w:cstheme="minorBidi"/>
          <w:lang w:eastAsia="en-US"/>
        </w:rPr>
        <w:t xml:space="preserve"> </w:t>
      </w:r>
    </w:p>
    <w:p w14:paraId="534F84B5" w14:textId="77777777" w:rsidR="002C14FD" w:rsidRPr="002C14FD" w:rsidRDefault="002C14FD" w:rsidP="002C14FD">
      <w:pPr>
        <w:widowControl/>
        <w:autoSpaceDE/>
        <w:autoSpaceDN/>
        <w:adjustRightInd/>
        <w:ind w:firstLine="567"/>
        <w:rPr>
          <w:lang w:eastAsia="en-US"/>
        </w:rPr>
      </w:pPr>
      <w:r w:rsidRPr="002C14FD">
        <w:rPr>
          <w:rFonts w:eastAsiaTheme="minorHAnsi" w:cstheme="minorBidi"/>
          <w:szCs w:val="22"/>
          <w:lang w:eastAsia="en-US"/>
        </w:rPr>
        <w:t>Nadalje, primjenjivan je sektorski pristup kod izrade godišnjeg programa i plana rada Ureda na koji način se nastoji osigurati da su u obavljenim revizijama zastupljena sva značajna područja revizije. Također, Ured kroz ocjenjivanje rada revizora i prikupljene informacije od subjekata revizije prati primjenu Etičkog kodeksa Državnog ureda za reviziju i Etičkog okvira. Sastavljen je popis potrebnih kompetencija zaposlenika Ureda u skladu s Međunarodnim standardima vrhovnih revizijskih institucija (INTOSAI).</w:t>
      </w:r>
      <w:r w:rsidRPr="002C14FD">
        <w:rPr>
          <w:lang w:eastAsia="en-US"/>
        </w:rPr>
        <w:t xml:space="preserve"> </w:t>
      </w:r>
    </w:p>
    <w:p w14:paraId="2CA2F0AB" w14:textId="77777777" w:rsidR="002C14FD" w:rsidRPr="002C14FD" w:rsidRDefault="002C14FD" w:rsidP="002C14FD">
      <w:pPr>
        <w:widowControl/>
        <w:autoSpaceDE/>
        <w:autoSpaceDN/>
        <w:adjustRightInd/>
        <w:rPr>
          <w:rFonts w:eastAsiaTheme="minorHAnsi" w:cstheme="minorBidi"/>
          <w:szCs w:val="22"/>
          <w:lang w:eastAsia="en-US"/>
        </w:rPr>
      </w:pPr>
    </w:p>
    <w:p w14:paraId="6592727D" w14:textId="77777777" w:rsidR="00F23877" w:rsidRPr="0000028F" w:rsidRDefault="00F23877" w:rsidP="00F23877">
      <w:pPr>
        <w:rPr>
          <w:rFonts w:cs="Arial"/>
          <w:b/>
        </w:rPr>
      </w:pPr>
    </w:p>
    <w:p w14:paraId="53ACD9B5" w14:textId="77777777" w:rsidR="00F23877" w:rsidRPr="0000028F" w:rsidRDefault="00F23877" w:rsidP="00F23877">
      <w:pPr>
        <w:rPr>
          <w:rFonts w:cs="Arial"/>
          <w:b/>
        </w:rPr>
      </w:pPr>
    </w:p>
    <w:p w14:paraId="2928D9E9" w14:textId="77777777" w:rsidR="00F23877" w:rsidRPr="0000028F" w:rsidRDefault="00F23877" w:rsidP="00F23877">
      <w:pPr>
        <w:rPr>
          <w:rFonts w:cs="Arial"/>
          <w:b/>
        </w:rPr>
      </w:pPr>
      <w:r w:rsidRPr="0000028F">
        <w:rPr>
          <w:rFonts w:cs="Arial"/>
          <w:b/>
        </w:rPr>
        <w:t xml:space="preserve">Posebni cilj 1.4. Povećati učinkovitost Ureda </w:t>
      </w:r>
    </w:p>
    <w:p w14:paraId="1F3C7B5D" w14:textId="77777777" w:rsidR="00F23877" w:rsidRPr="0000028F" w:rsidRDefault="00F23877" w:rsidP="00F23877">
      <w:pPr>
        <w:rPr>
          <w:rFonts w:cs="Arial"/>
          <w:b/>
        </w:rPr>
      </w:pPr>
    </w:p>
    <w:p w14:paraId="3F6576AF" w14:textId="77777777" w:rsidR="002C14FD" w:rsidRPr="002C14FD" w:rsidRDefault="002C14FD" w:rsidP="002C14FD">
      <w:pPr>
        <w:widowControl/>
        <w:autoSpaceDE/>
        <w:autoSpaceDN/>
        <w:adjustRightInd/>
        <w:ind w:firstLine="567"/>
        <w:rPr>
          <w:rFonts w:eastAsiaTheme="minorHAnsi" w:cstheme="minorBidi"/>
          <w:szCs w:val="22"/>
          <w:lang w:eastAsia="en-US"/>
        </w:rPr>
      </w:pPr>
      <w:r w:rsidRPr="002C14FD">
        <w:rPr>
          <w:rFonts w:eastAsiaTheme="minorHAnsi" w:cstheme="minorBidi"/>
          <w:szCs w:val="22"/>
          <w:lang w:eastAsia="en-US"/>
        </w:rPr>
        <w:t xml:space="preserve">Za ostvarenje posebnog cilja Povećanje učinkovitosti Ureda, izrađene su Smjernice za ocjenu učinkovitosti Ureda na temelju primijenjenog Okvira za vrednovanje učinkovitosti Vrhovnih revizijskih institucija (VRI PMF) te je sastavljen upitnik na temelju kojeg se prikupljaju informacije za vrednovanje učinkovitosti Ureda. Također, doneseni su Kriteriji za ocjenu rada revizora prema kojima je započelo ocjenjivanje rada revizora nakon svake obavljene revizije. Osim toga, uspostavljen je sustav izvještavanja prema Elementima za ocjenu učinkovitosti i učinaka Državnog ureda za reviziju. </w:t>
      </w:r>
    </w:p>
    <w:p w14:paraId="7B0DF67E" w14:textId="6E18B255" w:rsidR="00991135" w:rsidRPr="0000028F" w:rsidRDefault="00991135" w:rsidP="00F23877">
      <w:pPr>
        <w:rPr>
          <w:rFonts w:cs="Arial"/>
          <w:b/>
        </w:rPr>
      </w:pPr>
    </w:p>
    <w:p w14:paraId="55267674" w14:textId="77777777" w:rsidR="00F23877" w:rsidRPr="0000028F" w:rsidRDefault="00F23877" w:rsidP="00F23877">
      <w:pPr>
        <w:rPr>
          <w:rFonts w:cs="Arial"/>
          <w:b/>
        </w:rPr>
      </w:pPr>
      <w:r w:rsidRPr="0000028F">
        <w:rPr>
          <w:rFonts w:cs="Arial"/>
          <w:b/>
        </w:rPr>
        <w:t>Posebni cilj 1.5. Jačati međunarodnu suradnju i odnose se javnošću</w:t>
      </w:r>
    </w:p>
    <w:p w14:paraId="3F9B1735" w14:textId="77777777" w:rsidR="00F23877" w:rsidRPr="0000028F" w:rsidRDefault="00F23877" w:rsidP="00F23877">
      <w:pPr>
        <w:rPr>
          <w:rFonts w:cs="Arial"/>
          <w:b/>
        </w:rPr>
      </w:pPr>
    </w:p>
    <w:p w14:paraId="1A248070" w14:textId="77777777" w:rsidR="00744DC1" w:rsidRPr="00744DC1" w:rsidRDefault="00744DC1" w:rsidP="00744DC1">
      <w:pPr>
        <w:widowControl/>
        <w:autoSpaceDE/>
        <w:autoSpaceDN/>
        <w:adjustRightInd/>
        <w:ind w:firstLine="567"/>
        <w:rPr>
          <w:rFonts w:eastAsiaTheme="minorHAnsi" w:cstheme="minorBidi"/>
          <w:lang w:eastAsia="en-US"/>
        </w:rPr>
      </w:pPr>
      <w:r w:rsidRPr="00744DC1">
        <w:rPr>
          <w:rFonts w:eastAsiaTheme="minorHAnsi" w:cstheme="minorBidi"/>
          <w:szCs w:val="22"/>
          <w:lang w:eastAsia="en-US"/>
        </w:rPr>
        <w:t>Ured poduzima aktivnosti za jačanje međunarodne suradnje. T</w:t>
      </w:r>
      <w:r w:rsidRPr="00744DC1">
        <w:rPr>
          <w:rFonts w:eastAsiaTheme="minorHAnsi" w:cstheme="minorBidi"/>
          <w:lang w:eastAsia="en-US"/>
        </w:rPr>
        <w:t xml:space="preserve">ijekom 2023. predstavnici Ureda su sudjelovali </w:t>
      </w:r>
      <w:r w:rsidRPr="00744DC1">
        <w:rPr>
          <w:rFonts w:eastAsiaTheme="minorHAnsi" w:cstheme="minorBidi"/>
          <w:szCs w:val="22"/>
          <w:lang w:eastAsia="en-US"/>
        </w:rPr>
        <w:t xml:space="preserve">na više seminara, konferencija i radionica. </w:t>
      </w:r>
      <w:r w:rsidRPr="00744DC1">
        <w:rPr>
          <w:rFonts w:eastAsiaTheme="minorHAnsi" w:cstheme="minorBidi"/>
          <w:lang w:eastAsia="en-US"/>
        </w:rPr>
        <w:t xml:space="preserve">Ured je nastavio upravljati EUROSAI Mrežom za etiku te su nastavljene aktivnosti Ureda u svojstvu vanjskog revizora EUROSAI-ja, u trećem mandatu. </w:t>
      </w:r>
    </w:p>
    <w:p w14:paraId="05600994" w14:textId="77777777" w:rsidR="00744DC1" w:rsidRPr="00744DC1" w:rsidRDefault="00744DC1" w:rsidP="00744DC1">
      <w:pPr>
        <w:widowControl/>
        <w:autoSpaceDE/>
        <w:autoSpaceDN/>
        <w:adjustRightInd/>
        <w:ind w:firstLine="567"/>
        <w:rPr>
          <w:rFonts w:eastAsiaTheme="minorHAnsi" w:cstheme="minorBidi"/>
          <w:lang w:eastAsia="en-US"/>
        </w:rPr>
      </w:pPr>
      <w:r w:rsidRPr="00744DC1">
        <w:rPr>
          <w:rFonts w:eastAsiaTheme="minorHAnsi" w:cstheme="minorBidi"/>
          <w:lang w:eastAsia="en-US"/>
        </w:rPr>
        <w:t xml:space="preserve">Nadalje, tijekom godine su održani bilateralni sastanci s čelnicima i predstavnicima drugih vrhovnih revizijskih institucija. (Malte, Crne Gore, Bosne i Hercegovine, Slovenije, Kosova, Slovačke, Austrije i Kube). Kao član Kontaktnog odbora EU, Ured je uključen u aktivnosti Odbora i njegovih radnih skupina. </w:t>
      </w:r>
      <w:r w:rsidRPr="00744DC1">
        <w:rPr>
          <w:rFonts w:cs="Arial"/>
          <w:bCs/>
          <w:iCs/>
          <w:lang w:eastAsia="en-US"/>
        </w:rPr>
        <w:t xml:space="preserve">Također, nastavljen je i rad predstavnika Ureda u NATO-ovoj Skupini kompetentnih nacionalnih revizijskih tijela. </w:t>
      </w:r>
      <w:r w:rsidRPr="00744DC1">
        <w:rPr>
          <w:rFonts w:eastAsiaTheme="minorHAnsi" w:cstheme="minorBidi"/>
          <w:lang w:eastAsia="en-US"/>
        </w:rPr>
        <w:t>Nadalje, u Uredu je tijekom 2023. održan i niz sastanaka s predstavnicima međunarodnih organizacija, institucija i tijela, kao što su Europska komisija, OECD, Svjetska banka, Vijeće Europe – kongres za lokalnu samoupravu i drugi.</w:t>
      </w:r>
    </w:p>
    <w:p w14:paraId="505C31C8" w14:textId="77777777" w:rsidR="00744DC1" w:rsidRPr="00744DC1" w:rsidRDefault="00744DC1" w:rsidP="00744DC1">
      <w:pPr>
        <w:widowControl/>
        <w:autoSpaceDE/>
        <w:autoSpaceDN/>
        <w:adjustRightInd/>
        <w:ind w:firstLine="567"/>
        <w:rPr>
          <w:rFonts w:cs="Arial"/>
          <w:lang w:eastAsia="en-US"/>
        </w:rPr>
      </w:pPr>
    </w:p>
    <w:p w14:paraId="7BEE9647" w14:textId="4F8E25F6" w:rsidR="00744DC1" w:rsidRPr="00744DC1" w:rsidRDefault="00744DC1" w:rsidP="00744DC1">
      <w:pPr>
        <w:widowControl/>
        <w:autoSpaceDE/>
        <w:autoSpaceDN/>
        <w:adjustRightInd/>
        <w:ind w:firstLine="567"/>
        <w:rPr>
          <w:rFonts w:eastAsiaTheme="minorHAnsi" w:cstheme="minorBidi"/>
          <w:szCs w:val="22"/>
          <w:lang w:eastAsia="en-US"/>
        </w:rPr>
      </w:pPr>
      <w:r w:rsidRPr="00744DC1">
        <w:rPr>
          <w:rFonts w:cs="Arial"/>
          <w:lang w:eastAsia="en-US"/>
        </w:rPr>
        <w:t xml:space="preserve">U okviru poslova odnosa s javnošću tijekom ovog izvještajnog razdoblja Ured je Hrvatskom saboru dostavio sva konačna izvješća o obavljenoj reviziji, prijedlog financijskog plana Ureda za 2024. te prijedlog glavnoga državnog revizora za imenovanje neovisnog vanjskog revizora Ureda, a predstavnici Ureda sudjelovali su na sjednicama Odbora za financije i državni proračun, Odbora za poljoprivredu i Odbora za regionalni razvoj i fondove Europske unije te plenarnim sjednicama na kojima su raspravljane teme iz nadležnosti Ureda. Tijekom 2023. odgovoreno je na 144 upita pravnih i fizičkih osoba te predstavnika medija, dano je pet izjava, održana su tri </w:t>
      </w:r>
      <w:proofErr w:type="spellStart"/>
      <w:r w:rsidRPr="00744DC1">
        <w:rPr>
          <w:rFonts w:cs="Arial"/>
          <w:i/>
          <w:lang w:eastAsia="en-US"/>
        </w:rPr>
        <w:t>briefinga</w:t>
      </w:r>
      <w:proofErr w:type="spellEnd"/>
      <w:r w:rsidRPr="00744DC1">
        <w:rPr>
          <w:rFonts w:cs="Arial"/>
          <w:lang w:eastAsia="en-US"/>
        </w:rPr>
        <w:t xml:space="preserve"> i dana tri priopćenja. Od 475 objava u medijima o radu Ureda, 99,8 % bilo je pozitivno.</w:t>
      </w:r>
      <w:r w:rsidRPr="00744DC1">
        <w:rPr>
          <w:rFonts w:eastAsiaTheme="minorHAnsi" w:cstheme="minorBidi"/>
          <w:szCs w:val="22"/>
          <w:lang w:eastAsia="en-US"/>
        </w:rPr>
        <w:t xml:space="preserve"> U 2023. bilo je 475 ob</w:t>
      </w:r>
      <w:r w:rsidR="00ED5700">
        <w:rPr>
          <w:rFonts w:eastAsiaTheme="minorHAnsi" w:cstheme="minorBidi"/>
          <w:szCs w:val="22"/>
          <w:lang w:eastAsia="en-US"/>
        </w:rPr>
        <w:t>java u medijima</w:t>
      </w:r>
      <w:r w:rsidR="00B97533">
        <w:rPr>
          <w:rFonts w:eastAsiaTheme="minorHAnsi" w:cstheme="minorBidi"/>
          <w:szCs w:val="22"/>
          <w:lang w:eastAsia="en-US"/>
        </w:rPr>
        <w:t xml:space="preserve"> o  radu Ureda, od kojih </w:t>
      </w:r>
      <w:r w:rsidRPr="00744DC1">
        <w:rPr>
          <w:rFonts w:eastAsiaTheme="minorHAnsi" w:cstheme="minorBidi"/>
          <w:szCs w:val="22"/>
          <w:lang w:eastAsia="en-US"/>
        </w:rPr>
        <w:t>99,8 % pozitivno.</w:t>
      </w:r>
    </w:p>
    <w:p w14:paraId="0B080CB8" w14:textId="77777777" w:rsidR="00744DC1" w:rsidRPr="00744DC1" w:rsidRDefault="00744DC1" w:rsidP="00744DC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autoSpaceDN/>
        <w:adjustRightInd/>
        <w:textAlignment w:val="baseline"/>
        <w:rPr>
          <w:rFonts w:cs="Arial"/>
          <w:color w:val="3D3D3D"/>
          <w:lang w:eastAsia="en-US"/>
        </w:rPr>
      </w:pPr>
    </w:p>
    <w:p w14:paraId="2A540A0F" w14:textId="7B2CCC7B" w:rsidR="00A350A2" w:rsidRDefault="00A350A2" w:rsidP="00F23877">
      <w:pPr>
        <w:rPr>
          <w:rFonts w:cs="Arial"/>
        </w:rPr>
      </w:pPr>
    </w:p>
    <w:p w14:paraId="00AD7DB4" w14:textId="77777777" w:rsidR="00E8626D" w:rsidRPr="00A350A2" w:rsidRDefault="00E8626D" w:rsidP="00F23877">
      <w:pPr>
        <w:rPr>
          <w:rFonts w:cs="Arial"/>
        </w:rPr>
      </w:pPr>
    </w:p>
    <w:p w14:paraId="50C05D5E" w14:textId="77777777" w:rsidR="00DD0AD0" w:rsidRPr="00F23877" w:rsidRDefault="00DD0AD0" w:rsidP="00F23877">
      <w:pPr>
        <w:rPr>
          <w:rFonts w:cs="Arial"/>
          <w:color w:val="C00000"/>
        </w:rPr>
      </w:pPr>
    </w:p>
    <w:p w14:paraId="3941BC66" w14:textId="7910E52A" w:rsidR="00376969" w:rsidRPr="00CC373D" w:rsidRDefault="00CC373D" w:rsidP="00C813E3">
      <w:pPr>
        <w:pStyle w:val="Naslov3"/>
        <w:tabs>
          <w:tab w:val="left" w:pos="993"/>
        </w:tabs>
        <w:ind w:left="990" w:hanging="990"/>
        <w:rPr>
          <w:rFonts w:ascii="Arial" w:hAnsi="Arial" w:cs="Arial"/>
          <w:b/>
          <w:color w:val="auto"/>
        </w:rPr>
      </w:pPr>
      <w:bookmarkStart w:id="13" w:name="_Toc162444748"/>
      <w:r>
        <w:rPr>
          <w:rFonts w:ascii="Arial" w:hAnsi="Arial" w:cs="Arial"/>
          <w:b/>
          <w:color w:val="auto"/>
        </w:rPr>
        <w:lastRenderedPageBreak/>
        <w:t>2.4</w:t>
      </w:r>
      <w:r w:rsidR="00C813E3" w:rsidRPr="00C813E3">
        <w:rPr>
          <w:rFonts w:ascii="Arial" w:hAnsi="Arial" w:cs="Arial"/>
          <w:b/>
          <w:color w:val="auto"/>
        </w:rPr>
        <w:t>.</w:t>
      </w:r>
      <w:r w:rsidR="00C813E3" w:rsidRPr="00C813E3">
        <w:rPr>
          <w:rFonts w:ascii="Arial" w:hAnsi="Arial" w:cs="Arial"/>
          <w:b/>
          <w:color w:val="auto"/>
        </w:rPr>
        <w:tab/>
      </w:r>
      <w:r w:rsidR="00376969" w:rsidRPr="00CC373D">
        <w:rPr>
          <w:rStyle w:val="Naslov2Char"/>
          <w:rFonts w:ascii="Arial" w:hAnsi="Arial" w:cs="Arial"/>
          <w:b/>
          <w:color w:val="auto"/>
          <w:sz w:val="24"/>
          <w:szCs w:val="24"/>
        </w:rPr>
        <w:t xml:space="preserve">Posebni izvještaj o </w:t>
      </w:r>
      <w:r w:rsidR="00B54B32">
        <w:rPr>
          <w:rStyle w:val="Naslov2Char"/>
          <w:rFonts w:ascii="Arial" w:hAnsi="Arial" w:cs="Arial"/>
          <w:b/>
          <w:color w:val="auto"/>
          <w:sz w:val="24"/>
          <w:szCs w:val="24"/>
        </w:rPr>
        <w:t>godišnjem</w:t>
      </w:r>
      <w:r w:rsidR="00376969" w:rsidRPr="00CC373D">
        <w:rPr>
          <w:rStyle w:val="Naslov2Char"/>
          <w:rFonts w:ascii="Arial" w:hAnsi="Arial" w:cs="Arial"/>
          <w:b/>
          <w:color w:val="auto"/>
          <w:sz w:val="24"/>
          <w:szCs w:val="24"/>
        </w:rPr>
        <w:t xml:space="preserve"> izvještaju o izvršenju financi</w:t>
      </w:r>
      <w:r w:rsidR="00661A1B" w:rsidRPr="00CC373D">
        <w:rPr>
          <w:rStyle w:val="Naslov2Char"/>
          <w:rFonts w:ascii="Arial" w:hAnsi="Arial" w:cs="Arial"/>
          <w:b/>
          <w:color w:val="auto"/>
          <w:sz w:val="24"/>
          <w:szCs w:val="24"/>
        </w:rPr>
        <w:t>j</w:t>
      </w:r>
      <w:r w:rsidR="00376969" w:rsidRPr="00CC373D">
        <w:rPr>
          <w:rStyle w:val="Naslov2Char"/>
          <w:rFonts w:ascii="Arial" w:hAnsi="Arial" w:cs="Arial"/>
          <w:b/>
          <w:color w:val="auto"/>
          <w:sz w:val="24"/>
          <w:szCs w:val="24"/>
        </w:rPr>
        <w:t>skog plana za 2023.</w:t>
      </w:r>
      <w:bookmarkEnd w:id="13"/>
    </w:p>
    <w:p w14:paraId="2EC19D72" w14:textId="54F64209" w:rsidR="00892697" w:rsidRPr="00CA357C" w:rsidRDefault="00892697" w:rsidP="00892697">
      <w:pPr>
        <w:rPr>
          <w:rFonts w:cs="Arial"/>
        </w:rPr>
      </w:pPr>
    </w:p>
    <w:p w14:paraId="617DF54D" w14:textId="3407A21C" w:rsidR="00B54B32" w:rsidRDefault="00E472BE" w:rsidP="00343966">
      <w:pPr>
        <w:ind w:firstLine="480"/>
        <w:rPr>
          <w:rFonts w:cs="Arial"/>
        </w:rPr>
      </w:pPr>
      <w:r>
        <w:rPr>
          <w:rFonts w:cs="Arial"/>
        </w:rPr>
        <w:t xml:space="preserve">Prema </w:t>
      </w:r>
      <w:r w:rsidR="00B54B32">
        <w:rPr>
          <w:rFonts w:cs="Arial"/>
        </w:rPr>
        <w:t xml:space="preserve">članku 46. </w:t>
      </w:r>
      <w:r w:rsidR="00B54B32" w:rsidRPr="00B54B32">
        <w:rPr>
          <w:rFonts w:cs="Arial"/>
        </w:rPr>
        <w:t>Pravilnika o polugodišnjem i godišnjem izvještaju o izvršenju proračuna i financijskog plana (Narodne novine 85/23)</w:t>
      </w:r>
      <w:r w:rsidR="00B97533">
        <w:rPr>
          <w:rFonts w:cs="Arial"/>
        </w:rPr>
        <w:t>,</w:t>
      </w:r>
      <w:r w:rsidR="00B54B32" w:rsidRPr="00B54B32">
        <w:rPr>
          <w:rFonts w:cs="Arial"/>
        </w:rPr>
        <w:t xml:space="preserve"> </w:t>
      </w:r>
      <w:r w:rsidR="00B97533">
        <w:rPr>
          <w:rFonts w:cs="Arial"/>
        </w:rPr>
        <w:t>p</w:t>
      </w:r>
      <w:r w:rsidR="00376969" w:rsidRPr="00CA357C">
        <w:rPr>
          <w:rFonts w:cs="Arial"/>
        </w:rPr>
        <w:t xml:space="preserve">osebni izvještaj o godišnjem izvještaju o izvršenju financijskog plana </w:t>
      </w:r>
      <w:r w:rsidR="00B54B32">
        <w:rPr>
          <w:rFonts w:cs="Arial"/>
        </w:rPr>
        <w:t xml:space="preserve">Ureda </w:t>
      </w:r>
      <w:r w:rsidR="00376969" w:rsidRPr="00CA357C">
        <w:rPr>
          <w:rFonts w:cs="Arial"/>
        </w:rPr>
        <w:t>za 2023</w:t>
      </w:r>
      <w:r>
        <w:rPr>
          <w:rFonts w:cs="Arial"/>
        </w:rPr>
        <w:t>.</w:t>
      </w:r>
      <w:r w:rsidR="00892697" w:rsidRPr="00CA357C">
        <w:rPr>
          <w:rFonts w:cs="Arial"/>
        </w:rPr>
        <w:t xml:space="preserve"> </w:t>
      </w:r>
      <w:r w:rsidR="00B54B32">
        <w:rPr>
          <w:rFonts w:cs="Arial"/>
        </w:rPr>
        <w:t>sastoji se od:</w:t>
      </w:r>
    </w:p>
    <w:p w14:paraId="1C2C043D" w14:textId="77B5CECF" w:rsidR="00B54B32" w:rsidRDefault="00B54B32" w:rsidP="00B54B32">
      <w:pPr>
        <w:pStyle w:val="Odlomakpopisa"/>
        <w:numPr>
          <w:ilvl w:val="0"/>
          <w:numId w:val="34"/>
        </w:numPr>
        <w:rPr>
          <w:rFonts w:cs="Arial"/>
        </w:rPr>
      </w:pPr>
      <w:r>
        <w:rPr>
          <w:rFonts w:cs="Arial"/>
        </w:rPr>
        <w:t>izvještaja o zaduživanju na domaćem i stranom tržištu novca i kapitala i</w:t>
      </w:r>
    </w:p>
    <w:p w14:paraId="31D7DF18" w14:textId="11A9BF9A" w:rsidR="00B54B32" w:rsidRDefault="00B54B32" w:rsidP="00B54B32">
      <w:pPr>
        <w:pStyle w:val="Odlomakpopisa"/>
        <w:numPr>
          <w:ilvl w:val="0"/>
          <w:numId w:val="34"/>
        </w:numPr>
        <w:rPr>
          <w:rFonts w:cs="Arial"/>
        </w:rPr>
      </w:pPr>
      <w:r>
        <w:rPr>
          <w:rFonts w:cs="Arial"/>
        </w:rPr>
        <w:t>izvještaj</w:t>
      </w:r>
      <w:r w:rsidR="00B23FA2">
        <w:rPr>
          <w:rFonts w:cs="Arial"/>
        </w:rPr>
        <w:t>a</w:t>
      </w:r>
      <w:r>
        <w:rPr>
          <w:rFonts w:cs="Arial"/>
        </w:rPr>
        <w:t xml:space="preserve"> o korištenju sredstava fondova Europske </w:t>
      </w:r>
      <w:r w:rsidR="002B62F3">
        <w:rPr>
          <w:rFonts w:cs="Arial"/>
        </w:rPr>
        <w:t>unije</w:t>
      </w:r>
    </w:p>
    <w:p w14:paraId="1C73CDBC" w14:textId="26244E6F" w:rsidR="00F83B6F" w:rsidRDefault="00F83B6F" w:rsidP="00F83B6F">
      <w:pPr>
        <w:rPr>
          <w:rFonts w:cs="Arial"/>
        </w:rPr>
      </w:pPr>
    </w:p>
    <w:p w14:paraId="59E1BA2F" w14:textId="51F5354D" w:rsidR="00F83B6F" w:rsidRDefault="00F83B6F" w:rsidP="00F83B6F">
      <w:pPr>
        <w:rPr>
          <w:rFonts w:cs="Arial"/>
        </w:rPr>
      </w:pPr>
    </w:p>
    <w:p w14:paraId="470ABA17" w14:textId="54BE575E" w:rsidR="00F83B6F" w:rsidRPr="00F83B6F" w:rsidRDefault="00F83B6F" w:rsidP="00F83B6F">
      <w:pPr>
        <w:pStyle w:val="Naslov3"/>
        <w:rPr>
          <w:rFonts w:ascii="Arial" w:hAnsi="Arial" w:cs="Arial"/>
          <w:b/>
          <w:color w:val="auto"/>
        </w:rPr>
      </w:pPr>
      <w:bookmarkStart w:id="14" w:name="_Toc162444749"/>
      <w:r w:rsidRPr="00F83B6F">
        <w:rPr>
          <w:rFonts w:ascii="Arial" w:hAnsi="Arial" w:cs="Arial"/>
          <w:b/>
          <w:color w:val="auto"/>
        </w:rPr>
        <w:t>2.4.1. Izvještaj o zaduživanju na domaćem i stranom tržištu novca i kapitala</w:t>
      </w:r>
      <w:bookmarkEnd w:id="14"/>
    </w:p>
    <w:p w14:paraId="1D107939" w14:textId="77777777" w:rsidR="00B54B32" w:rsidRDefault="00B54B32" w:rsidP="00B54B32">
      <w:pPr>
        <w:ind w:left="480"/>
        <w:rPr>
          <w:rFonts w:cs="Arial"/>
        </w:rPr>
      </w:pPr>
    </w:p>
    <w:p w14:paraId="1E03AA39" w14:textId="5D665A44" w:rsidR="00B416E9" w:rsidRPr="00B54B32" w:rsidRDefault="00726B93" w:rsidP="00F83B6F">
      <w:pPr>
        <w:ind w:firstLine="480"/>
        <w:rPr>
          <w:rFonts w:cs="Arial"/>
        </w:rPr>
      </w:pPr>
      <w:r w:rsidRPr="00B54B32">
        <w:rPr>
          <w:rFonts w:cs="Arial"/>
        </w:rPr>
        <w:t>I</w:t>
      </w:r>
      <w:r w:rsidR="00E472BE" w:rsidRPr="00B54B32">
        <w:rPr>
          <w:rFonts w:cs="Arial"/>
        </w:rPr>
        <w:t xml:space="preserve">zvještaj </w:t>
      </w:r>
      <w:r w:rsidR="00F83B6F" w:rsidRPr="00F83B6F">
        <w:rPr>
          <w:rFonts w:cs="Arial"/>
        </w:rPr>
        <w:t xml:space="preserve">o zaduživanju na domaćem i stranom tržištu novca i kapitala </w:t>
      </w:r>
      <w:r w:rsidR="00E472BE" w:rsidRPr="00B54B32">
        <w:rPr>
          <w:rFonts w:cs="Arial"/>
        </w:rPr>
        <w:t>sadrži podatke koj</w:t>
      </w:r>
      <w:r w:rsidR="00892697" w:rsidRPr="00B54B32">
        <w:rPr>
          <w:rFonts w:cs="Arial"/>
        </w:rPr>
        <w:t>i</w:t>
      </w:r>
      <w:r w:rsidR="00FD4774" w:rsidRPr="00B54B32">
        <w:rPr>
          <w:rFonts w:cs="Arial"/>
        </w:rPr>
        <w:t xml:space="preserve"> se odnose na </w:t>
      </w:r>
      <w:r w:rsidR="00E472BE" w:rsidRPr="00B54B32">
        <w:rPr>
          <w:rFonts w:cs="Arial"/>
        </w:rPr>
        <w:t xml:space="preserve">zaduživanje radi nabave vozila na financijski </w:t>
      </w:r>
      <w:proofErr w:type="spellStart"/>
      <w:r w:rsidR="00AB6101" w:rsidRPr="00B54B32">
        <w:rPr>
          <w:rFonts w:cs="Arial"/>
          <w:i/>
        </w:rPr>
        <w:t>leasing</w:t>
      </w:r>
      <w:proofErr w:type="spellEnd"/>
      <w:r w:rsidR="00E472BE" w:rsidRPr="00B54B32">
        <w:rPr>
          <w:rFonts w:cs="Arial"/>
        </w:rPr>
        <w:t xml:space="preserve">. </w:t>
      </w:r>
    </w:p>
    <w:p w14:paraId="1E3E87CA" w14:textId="742F6448" w:rsidR="00F65AFC" w:rsidRDefault="00E472BE" w:rsidP="00F65AFC">
      <w:pPr>
        <w:ind w:firstLine="480"/>
        <w:rPr>
          <w:rFonts w:cs="Arial"/>
        </w:rPr>
      </w:pPr>
      <w:r w:rsidRPr="00F65AFC">
        <w:rPr>
          <w:rFonts w:cs="Arial"/>
        </w:rPr>
        <w:t xml:space="preserve">Državni ured za reviziju nije se zaduživao </w:t>
      </w:r>
      <w:r w:rsidR="00F83B6F" w:rsidRPr="00F65AFC">
        <w:rPr>
          <w:rFonts w:cs="Arial"/>
        </w:rPr>
        <w:t>u</w:t>
      </w:r>
      <w:r w:rsidRPr="00F65AFC">
        <w:rPr>
          <w:rFonts w:cs="Arial"/>
        </w:rPr>
        <w:t xml:space="preserve"> 2023., </w:t>
      </w:r>
      <w:r w:rsidR="005E1F15" w:rsidRPr="00F65AFC">
        <w:rPr>
          <w:rFonts w:cs="Arial"/>
        </w:rPr>
        <w:t xml:space="preserve">ali su na 31. prosinca 2023. iskazane </w:t>
      </w:r>
      <w:r w:rsidRPr="00F65AFC">
        <w:rPr>
          <w:rFonts w:cs="Arial"/>
        </w:rPr>
        <w:t>obvez</w:t>
      </w:r>
      <w:r w:rsidR="005E1F15" w:rsidRPr="00F65AFC">
        <w:rPr>
          <w:rFonts w:cs="Arial"/>
        </w:rPr>
        <w:t>e</w:t>
      </w:r>
      <w:r w:rsidRPr="00F65AFC">
        <w:rPr>
          <w:rFonts w:cs="Arial"/>
        </w:rPr>
        <w:t xml:space="preserve"> </w:t>
      </w:r>
      <w:r w:rsidR="005E1F15" w:rsidRPr="00F65AFC">
        <w:rPr>
          <w:rFonts w:cs="Arial"/>
        </w:rPr>
        <w:t xml:space="preserve">u iznosu od 154.656,77 </w:t>
      </w:r>
      <w:r w:rsidR="00AF4853">
        <w:rPr>
          <w:rFonts w:cs="Arial"/>
        </w:rPr>
        <w:t>eura</w:t>
      </w:r>
      <w:r w:rsidR="00ED5700">
        <w:rPr>
          <w:rFonts w:cs="Arial"/>
        </w:rPr>
        <w:t xml:space="preserve"> </w:t>
      </w:r>
      <w:r w:rsidR="005E1F15" w:rsidRPr="00F65AFC">
        <w:rPr>
          <w:rFonts w:cs="Arial"/>
        </w:rPr>
        <w:t xml:space="preserve">s osnove financijskog </w:t>
      </w:r>
      <w:proofErr w:type="spellStart"/>
      <w:r w:rsidR="005E1F15" w:rsidRPr="00F65AFC">
        <w:rPr>
          <w:rFonts w:cs="Arial"/>
          <w:i/>
        </w:rPr>
        <w:t>leasinga</w:t>
      </w:r>
      <w:proofErr w:type="spellEnd"/>
      <w:r w:rsidR="005E1F15" w:rsidRPr="00F65AFC">
        <w:rPr>
          <w:rFonts w:cs="Arial"/>
          <w:i/>
        </w:rPr>
        <w:t xml:space="preserve"> </w:t>
      </w:r>
      <w:r w:rsidR="005E1F15" w:rsidRPr="00F65AFC">
        <w:rPr>
          <w:rFonts w:cs="Arial"/>
        </w:rPr>
        <w:t xml:space="preserve">za </w:t>
      </w:r>
      <w:r w:rsidRPr="00F65AFC">
        <w:rPr>
          <w:rFonts w:cs="Arial"/>
        </w:rPr>
        <w:t>vozila nabavljena tijekom 202</w:t>
      </w:r>
      <w:r w:rsidR="00555449" w:rsidRPr="00F65AFC">
        <w:rPr>
          <w:rFonts w:cs="Arial"/>
        </w:rPr>
        <w:t>2</w:t>
      </w:r>
      <w:r w:rsidR="001B775E" w:rsidRPr="00F65AFC">
        <w:rPr>
          <w:rFonts w:cs="Arial"/>
        </w:rPr>
        <w:t>.</w:t>
      </w:r>
      <w:r w:rsidR="005E1F15" w:rsidRPr="00F65AFC">
        <w:rPr>
          <w:rFonts w:cs="Arial"/>
        </w:rPr>
        <w:t xml:space="preserve"> </w:t>
      </w:r>
    </w:p>
    <w:p w14:paraId="539BD859" w14:textId="0A664E9E" w:rsidR="00D14351" w:rsidRPr="00F65AFC" w:rsidRDefault="005E1F15" w:rsidP="00F65AFC">
      <w:pPr>
        <w:ind w:firstLine="480"/>
        <w:rPr>
          <w:rFonts w:cs="Arial"/>
          <w:i/>
        </w:rPr>
      </w:pPr>
      <w:r w:rsidRPr="00F65AFC">
        <w:rPr>
          <w:rFonts w:cs="Arial"/>
        </w:rPr>
        <w:t xml:space="preserve">Naime, </w:t>
      </w:r>
      <w:r w:rsidR="00D14351" w:rsidRPr="00CA357C">
        <w:rPr>
          <w:rFonts w:cs="Arial"/>
          <w:bCs/>
        </w:rPr>
        <w:t xml:space="preserve">Državni ured za reviziju </w:t>
      </w:r>
      <w:r>
        <w:rPr>
          <w:rFonts w:cs="Arial"/>
          <w:bCs/>
        </w:rPr>
        <w:t xml:space="preserve">zaključio je u </w:t>
      </w:r>
      <w:r w:rsidR="00D14351" w:rsidRPr="00CA357C">
        <w:rPr>
          <w:rFonts w:cs="Arial"/>
          <w:bCs/>
        </w:rPr>
        <w:t>studeno</w:t>
      </w:r>
      <w:r w:rsidR="00FE3698">
        <w:rPr>
          <w:rFonts w:cs="Arial"/>
          <w:bCs/>
        </w:rPr>
        <w:t>m</w:t>
      </w:r>
      <w:r w:rsidR="00B97533">
        <w:rPr>
          <w:rFonts w:cs="Arial"/>
          <w:bCs/>
        </w:rPr>
        <w:t>e</w:t>
      </w:r>
      <w:r>
        <w:rPr>
          <w:rFonts w:cs="Arial"/>
          <w:bCs/>
        </w:rPr>
        <w:t xml:space="preserve"> </w:t>
      </w:r>
      <w:r w:rsidR="00D14351" w:rsidRPr="00CA357C">
        <w:rPr>
          <w:rFonts w:cs="Arial"/>
          <w:bCs/>
        </w:rPr>
        <w:t xml:space="preserve">2022. s OTP Leasing d.d. Ugovor za nabavu službenog motornog vozila putem financijskog </w:t>
      </w:r>
      <w:proofErr w:type="spellStart"/>
      <w:r w:rsidR="00D14351" w:rsidRPr="00CA357C">
        <w:rPr>
          <w:rFonts w:cs="Arial"/>
          <w:bCs/>
          <w:i/>
        </w:rPr>
        <w:t>leasinga</w:t>
      </w:r>
      <w:proofErr w:type="spellEnd"/>
      <w:r w:rsidR="00D14351" w:rsidRPr="00CA357C">
        <w:rPr>
          <w:rFonts w:cs="Arial"/>
          <w:bCs/>
          <w:i/>
        </w:rPr>
        <w:t xml:space="preserve"> </w:t>
      </w:r>
      <w:r w:rsidR="00D14351" w:rsidRPr="00CA357C">
        <w:rPr>
          <w:rFonts w:cs="Arial"/>
          <w:bCs/>
        </w:rPr>
        <w:t xml:space="preserve">(kombi vozilo) čija vrijednost nabave iznosi 461.193,84 kn* / 61.210,94 </w:t>
      </w:r>
      <w:r w:rsidR="00AF4853">
        <w:rPr>
          <w:rFonts w:cs="Arial"/>
          <w:bCs/>
        </w:rPr>
        <w:t>eura</w:t>
      </w:r>
      <w:r w:rsidR="00B97533">
        <w:rPr>
          <w:rFonts w:cs="Arial"/>
          <w:bCs/>
        </w:rPr>
        <w:t xml:space="preserve"> s uračunan</w:t>
      </w:r>
      <w:r w:rsidR="00D14351" w:rsidRPr="00CA357C">
        <w:rPr>
          <w:rFonts w:cs="Arial"/>
          <w:bCs/>
        </w:rPr>
        <w:t>im PPMV</w:t>
      </w:r>
      <w:r w:rsidR="00726B93">
        <w:rPr>
          <w:rFonts w:cs="Arial"/>
          <w:bCs/>
        </w:rPr>
        <w:t>-om</w:t>
      </w:r>
      <w:r w:rsidR="00D14351" w:rsidRPr="00CA357C">
        <w:rPr>
          <w:rFonts w:cs="Arial"/>
          <w:bCs/>
        </w:rPr>
        <w:t xml:space="preserve"> i PDV-om, a visina mjesečnog </w:t>
      </w:r>
      <w:proofErr w:type="spellStart"/>
      <w:r w:rsidR="00D14351" w:rsidRPr="00CA357C">
        <w:rPr>
          <w:rFonts w:cs="Arial"/>
          <w:bCs/>
          <w:i/>
        </w:rPr>
        <w:t>leasing</w:t>
      </w:r>
      <w:proofErr w:type="spellEnd"/>
      <w:r w:rsidR="00D14351" w:rsidRPr="00CA357C">
        <w:rPr>
          <w:rFonts w:cs="Arial"/>
          <w:bCs/>
          <w:i/>
        </w:rPr>
        <w:t xml:space="preserve"> </w:t>
      </w:r>
      <w:r w:rsidR="00B97533">
        <w:rPr>
          <w:rFonts w:cs="Arial"/>
          <w:bCs/>
        </w:rPr>
        <w:t>obroka s uračunan</w:t>
      </w:r>
      <w:r w:rsidR="00D14351" w:rsidRPr="00CA357C">
        <w:rPr>
          <w:rFonts w:cs="Arial"/>
          <w:bCs/>
        </w:rPr>
        <w:t>im kamatama izno</w:t>
      </w:r>
      <w:r w:rsidR="00EB0822">
        <w:rPr>
          <w:rFonts w:cs="Arial"/>
          <w:bCs/>
        </w:rPr>
        <w:t>si 12.810,94 kn</w:t>
      </w:r>
      <w:r w:rsidR="00B416E9">
        <w:rPr>
          <w:rStyle w:val="Referencafusnote"/>
          <w:rFonts w:cs="Arial"/>
          <w:bCs/>
        </w:rPr>
        <w:footnoteReference w:customMarkFollows="1" w:id="1"/>
        <w:t>*</w:t>
      </w:r>
      <w:r w:rsidR="00EB0822">
        <w:rPr>
          <w:rFonts w:cs="Arial"/>
          <w:bCs/>
        </w:rPr>
        <w:t xml:space="preserve"> / 1.700,30 </w:t>
      </w:r>
      <w:r w:rsidR="00AF4853">
        <w:rPr>
          <w:rFonts w:cs="Arial"/>
          <w:bCs/>
        </w:rPr>
        <w:t>eura</w:t>
      </w:r>
      <w:r w:rsidR="00EB0822">
        <w:rPr>
          <w:rFonts w:cs="Arial"/>
          <w:bCs/>
        </w:rPr>
        <w:t>, dok nominalna kamatna stopa iznosi 5,95 %.</w:t>
      </w:r>
      <w:r w:rsidR="00D14351" w:rsidRPr="00CA357C">
        <w:rPr>
          <w:rFonts w:cs="Arial"/>
          <w:bCs/>
        </w:rPr>
        <w:t xml:space="preserve"> </w:t>
      </w:r>
      <w:r w:rsidR="00F4433C">
        <w:rPr>
          <w:rFonts w:cs="Arial"/>
          <w:bCs/>
        </w:rPr>
        <w:t>Obveze za 2024. iznose 20.403,66</w:t>
      </w:r>
      <w:r w:rsidR="006375A3">
        <w:rPr>
          <w:rFonts w:cs="Arial"/>
          <w:bCs/>
        </w:rPr>
        <w:t xml:space="preserve"> </w:t>
      </w:r>
      <w:r w:rsidR="00AF4853">
        <w:rPr>
          <w:rFonts w:cs="Arial"/>
          <w:bCs/>
        </w:rPr>
        <w:t>eura</w:t>
      </w:r>
      <w:r w:rsidR="006375A3">
        <w:rPr>
          <w:rFonts w:cs="Arial"/>
          <w:bCs/>
        </w:rPr>
        <w:t xml:space="preserve">, </w:t>
      </w:r>
      <w:r>
        <w:rPr>
          <w:rFonts w:cs="Arial"/>
          <w:bCs/>
        </w:rPr>
        <w:t xml:space="preserve">a </w:t>
      </w:r>
      <w:r w:rsidR="00F4433C">
        <w:rPr>
          <w:rFonts w:cs="Arial"/>
          <w:bCs/>
        </w:rPr>
        <w:t>za 2025. iznose 20.403,66</w:t>
      </w:r>
      <w:r w:rsidR="006375A3">
        <w:rPr>
          <w:rFonts w:cs="Arial"/>
          <w:bCs/>
        </w:rPr>
        <w:t xml:space="preserve"> </w:t>
      </w:r>
      <w:r w:rsidR="00AF4853">
        <w:rPr>
          <w:rFonts w:cs="Arial"/>
          <w:bCs/>
        </w:rPr>
        <w:t>eura</w:t>
      </w:r>
      <w:r w:rsidR="00EC17AE">
        <w:rPr>
          <w:rFonts w:cs="Arial"/>
          <w:bCs/>
        </w:rPr>
        <w:t>.</w:t>
      </w:r>
      <w:r w:rsidR="006375A3">
        <w:rPr>
          <w:rFonts w:cs="Arial"/>
          <w:bCs/>
        </w:rPr>
        <w:t xml:space="preserve"> </w:t>
      </w:r>
      <w:r w:rsidR="00D14351" w:rsidRPr="00CA357C">
        <w:rPr>
          <w:rFonts w:cs="Arial"/>
          <w:bCs/>
        </w:rPr>
        <w:t>Datum posljednje otplate je 1. studenoga 2025.</w:t>
      </w:r>
    </w:p>
    <w:p w14:paraId="03F8C324" w14:textId="09913501" w:rsidR="00692BAC" w:rsidRDefault="00CA357C" w:rsidP="00D14351">
      <w:pPr>
        <w:ind w:firstLine="567"/>
        <w:rPr>
          <w:rFonts w:cs="Arial"/>
          <w:bCs/>
        </w:rPr>
      </w:pPr>
      <w:r>
        <w:rPr>
          <w:rFonts w:cs="Arial"/>
          <w:bCs/>
        </w:rPr>
        <w:t>Također</w:t>
      </w:r>
      <w:r w:rsidR="00D14351" w:rsidRPr="00CA357C">
        <w:rPr>
          <w:rFonts w:cs="Arial"/>
          <w:bCs/>
        </w:rPr>
        <w:t xml:space="preserve">, Državni ured za reviziju </w:t>
      </w:r>
      <w:r w:rsidR="00FE3698">
        <w:rPr>
          <w:rFonts w:cs="Arial"/>
          <w:bCs/>
        </w:rPr>
        <w:t>zaključio je u studenom</w:t>
      </w:r>
      <w:r w:rsidR="00B97533">
        <w:rPr>
          <w:rFonts w:cs="Arial"/>
          <w:bCs/>
        </w:rPr>
        <w:t>e</w:t>
      </w:r>
      <w:r w:rsidR="00D14351" w:rsidRPr="00CA357C">
        <w:rPr>
          <w:rFonts w:cs="Arial"/>
          <w:bCs/>
        </w:rPr>
        <w:t xml:space="preserve"> 2022. s OTP Leasing d.d. i Ugovor za nabavu službenih motornih vozila putem financijskog </w:t>
      </w:r>
      <w:proofErr w:type="spellStart"/>
      <w:r w:rsidR="00D14351" w:rsidRPr="00CA357C">
        <w:rPr>
          <w:rFonts w:cs="Arial"/>
          <w:bCs/>
          <w:i/>
        </w:rPr>
        <w:t>leasinga</w:t>
      </w:r>
      <w:proofErr w:type="spellEnd"/>
      <w:r w:rsidR="00D14351" w:rsidRPr="00CA357C">
        <w:rPr>
          <w:rFonts w:cs="Arial"/>
          <w:bCs/>
          <w:i/>
        </w:rPr>
        <w:t xml:space="preserve"> </w:t>
      </w:r>
      <w:r w:rsidR="00D14351" w:rsidRPr="00CA357C">
        <w:rPr>
          <w:rFonts w:cs="Arial"/>
          <w:bCs/>
        </w:rPr>
        <w:t xml:space="preserve">(šest automobila) čija vrijednost nabave iznosi 1.286.698,68 kn* / 170.774,26 </w:t>
      </w:r>
      <w:r w:rsidR="00AF4853">
        <w:rPr>
          <w:rFonts w:cs="Arial"/>
          <w:bCs/>
        </w:rPr>
        <w:t>eura</w:t>
      </w:r>
      <w:r w:rsidR="00B97533">
        <w:rPr>
          <w:rFonts w:cs="Arial"/>
          <w:bCs/>
        </w:rPr>
        <w:t xml:space="preserve"> s uračunan</w:t>
      </w:r>
      <w:r w:rsidR="00D14351" w:rsidRPr="00CA357C">
        <w:rPr>
          <w:rFonts w:cs="Arial"/>
          <w:bCs/>
        </w:rPr>
        <w:t>im PPMV</w:t>
      </w:r>
      <w:r w:rsidR="00726B93">
        <w:rPr>
          <w:rFonts w:cs="Arial"/>
          <w:bCs/>
        </w:rPr>
        <w:t>-om</w:t>
      </w:r>
      <w:r w:rsidR="00D14351" w:rsidRPr="00CA357C">
        <w:rPr>
          <w:rFonts w:cs="Arial"/>
          <w:bCs/>
        </w:rPr>
        <w:t xml:space="preserve"> i PDV-om, a visina mjesečnog </w:t>
      </w:r>
      <w:proofErr w:type="spellStart"/>
      <w:r w:rsidR="00D14351" w:rsidRPr="00CA357C">
        <w:rPr>
          <w:rFonts w:cs="Arial"/>
          <w:bCs/>
          <w:i/>
        </w:rPr>
        <w:t>leasing</w:t>
      </w:r>
      <w:proofErr w:type="spellEnd"/>
      <w:r w:rsidR="00B97533">
        <w:rPr>
          <w:rFonts w:cs="Arial"/>
          <w:bCs/>
        </w:rPr>
        <w:t xml:space="preserve"> obroka s uračunan</w:t>
      </w:r>
      <w:r w:rsidR="00D14351" w:rsidRPr="00CA357C">
        <w:rPr>
          <w:rFonts w:cs="Arial"/>
          <w:bCs/>
        </w:rPr>
        <w:t xml:space="preserve">im kamatama iznosi 35.741,63 kn* / </w:t>
      </w:r>
      <w:r w:rsidR="007A1870">
        <w:rPr>
          <w:rFonts w:cs="Arial"/>
          <w:bCs/>
        </w:rPr>
        <w:t xml:space="preserve">4.743,73 </w:t>
      </w:r>
      <w:r w:rsidR="00AF4853">
        <w:rPr>
          <w:rFonts w:cs="Arial"/>
          <w:bCs/>
        </w:rPr>
        <w:t>eura</w:t>
      </w:r>
      <w:r w:rsidR="007A1870">
        <w:rPr>
          <w:rFonts w:cs="Arial"/>
          <w:bCs/>
        </w:rPr>
        <w:t xml:space="preserve"> za šest automobila, </w:t>
      </w:r>
      <w:r w:rsidR="007A1870" w:rsidRPr="007A1870">
        <w:rPr>
          <w:rFonts w:cs="Arial"/>
          <w:bCs/>
        </w:rPr>
        <w:t>dok nominalna kamatna stopa iznosi 5,95 %.</w:t>
      </w:r>
      <w:r w:rsidR="00D14351" w:rsidRPr="00CA357C">
        <w:rPr>
          <w:rFonts w:cs="Arial"/>
          <w:bCs/>
        </w:rPr>
        <w:t xml:space="preserve"> </w:t>
      </w:r>
    </w:p>
    <w:p w14:paraId="2734D20B" w14:textId="2E3615EB" w:rsidR="00B416E9" w:rsidRDefault="00F4433C" w:rsidP="00B416E9">
      <w:pPr>
        <w:ind w:firstLine="567"/>
        <w:rPr>
          <w:rFonts w:cs="Arial"/>
        </w:rPr>
      </w:pPr>
      <w:r>
        <w:rPr>
          <w:rFonts w:cs="Arial"/>
          <w:bCs/>
        </w:rPr>
        <w:t>O</w:t>
      </w:r>
      <w:r w:rsidR="006375A3">
        <w:rPr>
          <w:rFonts w:cs="Arial"/>
          <w:bCs/>
        </w:rPr>
        <w:t>bveze za 2024</w:t>
      </w:r>
      <w:r>
        <w:rPr>
          <w:rFonts w:cs="Arial"/>
          <w:bCs/>
        </w:rPr>
        <w:t>. iznose 56.924,72</w:t>
      </w:r>
      <w:r w:rsidR="006375A3">
        <w:rPr>
          <w:rFonts w:cs="Arial"/>
          <w:bCs/>
        </w:rPr>
        <w:t xml:space="preserve"> </w:t>
      </w:r>
      <w:r w:rsidR="00AF4853">
        <w:rPr>
          <w:rFonts w:cs="Arial"/>
          <w:bCs/>
        </w:rPr>
        <w:t>eura</w:t>
      </w:r>
      <w:r w:rsidR="006375A3">
        <w:rPr>
          <w:rFonts w:cs="Arial"/>
          <w:bCs/>
        </w:rPr>
        <w:t xml:space="preserve">, </w:t>
      </w:r>
      <w:r w:rsidR="005E1F15">
        <w:rPr>
          <w:rFonts w:cs="Arial"/>
          <w:bCs/>
        </w:rPr>
        <w:t xml:space="preserve">a </w:t>
      </w:r>
      <w:r w:rsidR="006375A3">
        <w:rPr>
          <w:rFonts w:cs="Arial"/>
          <w:bCs/>
        </w:rPr>
        <w:t>za 2025. iznose 56.924,7</w:t>
      </w:r>
      <w:r>
        <w:rPr>
          <w:rFonts w:cs="Arial"/>
          <w:bCs/>
        </w:rPr>
        <w:t>3</w:t>
      </w:r>
      <w:r w:rsidR="006375A3">
        <w:rPr>
          <w:rFonts w:cs="Arial"/>
          <w:bCs/>
        </w:rPr>
        <w:t xml:space="preserve"> </w:t>
      </w:r>
      <w:r w:rsidR="00AF4853">
        <w:rPr>
          <w:rFonts w:cs="Arial"/>
          <w:bCs/>
        </w:rPr>
        <w:t>eura</w:t>
      </w:r>
      <w:r w:rsidR="00EC17AE">
        <w:rPr>
          <w:rFonts w:cs="Arial"/>
          <w:bCs/>
        </w:rPr>
        <w:t>.</w:t>
      </w:r>
      <w:r w:rsidR="006375A3" w:rsidRPr="00CA357C">
        <w:rPr>
          <w:rFonts w:cs="Arial"/>
          <w:bCs/>
        </w:rPr>
        <w:t xml:space="preserve"> </w:t>
      </w:r>
      <w:r w:rsidR="00D14351" w:rsidRPr="00CA357C">
        <w:rPr>
          <w:rFonts w:cs="Arial"/>
          <w:bCs/>
        </w:rPr>
        <w:t>Datum posljednje otplate je 1. studenoga 2025.</w:t>
      </w:r>
      <w:r w:rsidR="001A2AEF" w:rsidRPr="00CA357C">
        <w:rPr>
          <w:rFonts w:cs="Arial"/>
        </w:rPr>
        <w:tab/>
      </w:r>
      <w:r w:rsidR="001A2AEF" w:rsidRPr="00CA357C">
        <w:rPr>
          <w:rFonts w:cs="Arial"/>
        </w:rPr>
        <w:tab/>
      </w:r>
      <w:r w:rsidR="001A2AEF" w:rsidRPr="00CA357C">
        <w:rPr>
          <w:rFonts w:cs="Arial"/>
        </w:rPr>
        <w:tab/>
      </w:r>
      <w:r w:rsidR="001A2AEF" w:rsidRPr="00CA357C">
        <w:rPr>
          <w:rFonts w:cs="Arial"/>
        </w:rPr>
        <w:tab/>
      </w:r>
    </w:p>
    <w:p w14:paraId="06356EFB" w14:textId="1B876053" w:rsidR="002B62F3" w:rsidRDefault="002B62F3" w:rsidP="002B62F3">
      <w:pPr>
        <w:rPr>
          <w:rFonts w:cs="Arial"/>
        </w:rPr>
      </w:pPr>
    </w:p>
    <w:p w14:paraId="338706DA" w14:textId="0D012327" w:rsidR="002B62F3" w:rsidRDefault="002B62F3" w:rsidP="002B62F3">
      <w:pPr>
        <w:rPr>
          <w:rFonts w:cs="Arial"/>
        </w:rPr>
      </w:pPr>
    </w:p>
    <w:p w14:paraId="7FAE4304" w14:textId="35381B91" w:rsidR="002B62F3" w:rsidRDefault="002B62F3" w:rsidP="002B62F3">
      <w:pPr>
        <w:pStyle w:val="Naslov3"/>
        <w:rPr>
          <w:rFonts w:ascii="Arial" w:hAnsi="Arial" w:cs="Arial"/>
          <w:b/>
          <w:color w:val="auto"/>
        </w:rPr>
      </w:pPr>
      <w:bookmarkStart w:id="15" w:name="_Toc162444750"/>
      <w:r w:rsidRPr="002B62F3">
        <w:rPr>
          <w:rFonts w:ascii="Arial" w:hAnsi="Arial" w:cs="Arial"/>
          <w:b/>
          <w:color w:val="auto"/>
        </w:rPr>
        <w:t>2.4.2. Izvještaj o korištenju sredstava fondova Europske unije</w:t>
      </w:r>
      <w:bookmarkEnd w:id="15"/>
    </w:p>
    <w:p w14:paraId="448649F7" w14:textId="2D1DCFB2" w:rsidR="00A31F5C" w:rsidRDefault="00A31F5C" w:rsidP="00A31F5C"/>
    <w:p w14:paraId="77EDFF37" w14:textId="57D4DC64" w:rsidR="00A31F5C" w:rsidRPr="00397B2F" w:rsidRDefault="00A31F5C" w:rsidP="00A31F5C">
      <w:pPr>
        <w:rPr>
          <w:color w:val="FF0000"/>
        </w:rPr>
      </w:pPr>
      <w:r>
        <w:tab/>
      </w:r>
      <w:r w:rsidRPr="00A31F5C">
        <w:t>Kapitalne pomoći od institucija i tijela EU odnose se na dodjelu bespovratnih sredstava koji se financiraju iz Fonda solidarnosti EU – potres ožujak 2020. sukladno Ugovorima o dodjeli bespovrat</w:t>
      </w:r>
      <w:r w:rsidR="00951E51">
        <w:t>nih sredstava koje su sklopili t</w:t>
      </w:r>
      <w:r w:rsidRPr="00A31F5C">
        <w:t>ijelo odgovorno za provedbu financijskog doprinosa, Ministarstvo kulture i medija i Dr</w:t>
      </w:r>
      <w:r w:rsidR="00ED5700">
        <w:t xml:space="preserve">žavni ured za reviziju. Ugovor </w:t>
      </w:r>
      <w:r w:rsidRPr="00A31F5C">
        <w:t xml:space="preserve">za cjelovitu obnovu konstrukcije na lokaciji </w:t>
      </w:r>
      <w:proofErr w:type="spellStart"/>
      <w:r w:rsidRPr="00A31F5C">
        <w:t>Bogovićeva</w:t>
      </w:r>
      <w:proofErr w:type="spellEnd"/>
      <w:r w:rsidRPr="00A31F5C">
        <w:t xml:space="preserve"> 1a sklopljen 28. ožujka 2022. iznosi </w:t>
      </w:r>
      <w:r w:rsidR="00E91A8D">
        <w:t xml:space="preserve">3.418.228,00 kn* / </w:t>
      </w:r>
      <w:r w:rsidRPr="00A31F5C">
        <w:t xml:space="preserve">453.677,00 </w:t>
      </w:r>
      <w:r w:rsidR="00453DC4">
        <w:t>eura</w:t>
      </w:r>
      <w:r w:rsidR="00C72A10">
        <w:t>,</w:t>
      </w:r>
      <w:r w:rsidRPr="00A31F5C">
        <w:t xml:space="preserve"> dok je za lokaciju </w:t>
      </w:r>
      <w:proofErr w:type="spellStart"/>
      <w:r w:rsidRPr="00A31F5C">
        <w:t>Tkalčićeva</w:t>
      </w:r>
      <w:proofErr w:type="spellEnd"/>
      <w:r w:rsidRPr="00A31F5C">
        <w:t xml:space="preserve"> 19 sklopljen 9. srpnja 2021. i iznosi </w:t>
      </w:r>
      <w:r w:rsidR="00E91A8D">
        <w:t xml:space="preserve">10.204.953,13 kn* / </w:t>
      </w:r>
      <w:r w:rsidRPr="00A31F5C">
        <w:t xml:space="preserve">1.354.430,00 </w:t>
      </w:r>
      <w:r w:rsidR="00453DC4">
        <w:t>eura</w:t>
      </w:r>
      <w:r w:rsidRPr="00A31F5C">
        <w:t xml:space="preserve">. Ukupno ostvareni prihodi odnosno rashodi iz Fonda solidarnosti EU – potres ožujak 2020. iznose 357.716,99 </w:t>
      </w:r>
      <w:r w:rsidR="00453DC4">
        <w:t>eura</w:t>
      </w:r>
      <w:r w:rsidR="00951E51">
        <w:t>,</w:t>
      </w:r>
      <w:r w:rsidRPr="00A31F5C">
        <w:t xml:space="preserve"> od kojih se 332.731,55 </w:t>
      </w:r>
      <w:r w:rsidR="00951E51">
        <w:t>eura</w:t>
      </w:r>
      <w:r w:rsidRPr="00A31F5C">
        <w:t xml:space="preserve"> odnosi na cjelovitu obnovu konstrukcije na lokaciji </w:t>
      </w:r>
      <w:proofErr w:type="spellStart"/>
      <w:r w:rsidRPr="00A31F5C">
        <w:t>Bogovićeva</w:t>
      </w:r>
      <w:proofErr w:type="spellEnd"/>
      <w:r w:rsidRPr="00A31F5C">
        <w:t xml:space="preserve"> 1a</w:t>
      </w:r>
      <w:r w:rsidR="00951E51">
        <w:t>,</w:t>
      </w:r>
      <w:r w:rsidRPr="00A31F5C">
        <w:t xml:space="preserve"> dok se 25.065,63 </w:t>
      </w:r>
      <w:r w:rsidR="00453DC4">
        <w:t>eura</w:t>
      </w:r>
      <w:r w:rsidRPr="00A31F5C">
        <w:t xml:space="preserve"> odnosi na cjelovitu obnovu ko</w:t>
      </w:r>
      <w:r w:rsidR="00163F6B">
        <w:t>n</w:t>
      </w:r>
      <w:r w:rsidRPr="00A31F5C">
        <w:t xml:space="preserve">strukcije na lokaciji </w:t>
      </w:r>
      <w:proofErr w:type="spellStart"/>
      <w:r w:rsidRPr="00A31F5C">
        <w:t>Tkalčićeva</w:t>
      </w:r>
      <w:proofErr w:type="spellEnd"/>
      <w:r w:rsidRPr="00A31F5C">
        <w:t xml:space="preserve"> 19.</w:t>
      </w:r>
      <w:r w:rsidR="00377A76">
        <w:t xml:space="preserve"> </w:t>
      </w:r>
      <w:r w:rsidR="00F15058" w:rsidRPr="0053689D">
        <w:t>P</w:t>
      </w:r>
      <w:r w:rsidR="00377A76" w:rsidRPr="0053689D">
        <w:t>omoći od institucija i tijela EU i pomoći iz državnog proračuna temeljem prijenosa EU sredstava prizna</w:t>
      </w:r>
      <w:r w:rsidR="00F15058" w:rsidRPr="0053689D">
        <w:t xml:space="preserve">ti su </w:t>
      </w:r>
      <w:r w:rsidR="0053689D" w:rsidRPr="0053689D">
        <w:t xml:space="preserve">u </w:t>
      </w:r>
      <w:r w:rsidR="00377A76" w:rsidRPr="0053689D">
        <w:t xml:space="preserve">prihode izvještajnog razdoblja </w:t>
      </w:r>
      <w:r w:rsidR="00F15058" w:rsidRPr="0053689D">
        <w:t xml:space="preserve">u visini doznačenih pomoći koji su jednaki </w:t>
      </w:r>
      <w:r w:rsidR="00377A76" w:rsidRPr="0053689D">
        <w:t>troškovima provedbe ugovorenih programa i projekata</w:t>
      </w:r>
      <w:r w:rsidRPr="0053689D">
        <w:t>.</w:t>
      </w:r>
    </w:p>
    <w:p w14:paraId="2056A08A" w14:textId="33F429F9" w:rsidR="004475E8" w:rsidRDefault="004475E8" w:rsidP="001A2AEF">
      <w:pPr>
        <w:widowControl/>
        <w:rPr>
          <w:rFonts w:cs="Arial"/>
        </w:rPr>
      </w:pPr>
    </w:p>
    <w:p w14:paraId="1139065D" w14:textId="5D132AB1" w:rsidR="006542E2" w:rsidRDefault="00394E24" w:rsidP="00394E24">
      <w:pPr>
        <w:pStyle w:val="Naslov1"/>
        <w:ind w:left="425"/>
        <w:rPr>
          <w:rFonts w:ascii="Arial" w:hAnsi="Arial" w:cs="Arial"/>
          <w:b/>
          <w:bCs/>
          <w:color w:val="auto"/>
          <w:sz w:val="28"/>
          <w:szCs w:val="28"/>
        </w:rPr>
      </w:pPr>
      <w:bookmarkStart w:id="16" w:name="_Toc162444751"/>
      <w:r>
        <w:rPr>
          <w:rFonts w:ascii="Arial" w:hAnsi="Arial" w:cs="Arial"/>
          <w:b/>
          <w:bCs/>
          <w:color w:val="auto"/>
          <w:sz w:val="28"/>
          <w:szCs w:val="28"/>
        </w:rPr>
        <w:lastRenderedPageBreak/>
        <w:t>3.</w:t>
      </w:r>
      <w:r w:rsidR="006542E2" w:rsidRPr="00B34CC5">
        <w:rPr>
          <w:rFonts w:ascii="Arial" w:hAnsi="Arial" w:cs="Arial"/>
          <w:b/>
          <w:bCs/>
          <w:color w:val="auto"/>
          <w:sz w:val="28"/>
          <w:szCs w:val="28"/>
        </w:rPr>
        <w:t xml:space="preserve">  </w:t>
      </w:r>
      <w:bookmarkStart w:id="17" w:name="_Toc116889220"/>
      <w:r w:rsidR="006542E2" w:rsidRPr="00B34CC5">
        <w:rPr>
          <w:rFonts w:ascii="Arial" w:hAnsi="Arial" w:cs="Arial"/>
          <w:b/>
          <w:bCs/>
          <w:color w:val="auto"/>
          <w:sz w:val="28"/>
          <w:szCs w:val="28"/>
        </w:rPr>
        <w:t>P</w:t>
      </w:r>
      <w:bookmarkEnd w:id="17"/>
      <w:r w:rsidR="00B34CC5">
        <w:rPr>
          <w:rFonts w:ascii="Arial" w:hAnsi="Arial" w:cs="Arial"/>
          <w:b/>
          <w:bCs/>
          <w:color w:val="auto"/>
          <w:sz w:val="28"/>
          <w:szCs w:val="28"/>
        </w:rPr>
        <w:t>opis tablica</w:t>
      </w:r>
      <w:bookmarkEnd w:id="16"/>
    </w:p>
    <w:p w14:paraId="4359BCF7" w14:textId="77777777" w:rsidR="004475E8" w:rsidRPr="004475E8" w:rsidRDefault="004475E8" w:rsidP="004475E8"/>
    <w:p w14:paraId="53B5E617" w14:textId="77777777" w:rsidR="006542E2" w:rsidRDefault="006542E2" w:rsidP="006542E2">
      <w:pPr>
        <w:rPr>
          <w:rFonts w:ascii="Times New Roman" w:hAnsi="Times New Roman"/>
        </w:rPr>
      </w:pPr>
    </w:p>
    <w:p w14:paraId="0448E510" w14:textId="58B2FFD7" w:rsidR="006542E2" w:rsidRPr="006919C4" w:rsidRDefault="006542E2" w:rsidP="006542E2">
      <w:pPr>
        <w:pStyle w:val="Odlomakpopisa"/>
        <w:numPr>
          <w:ilvl w:val="0"/>
          <w:numId w:val="18"/>
        </w:numPr>
        <w:spacing w:line="276" w:lineRule="auto"/>
        <w:rPr>
          <w:rFonts w:cs="Arial"/>
        </w:rPr>
      </w:pPr>
      <w:r w:rsidRPr="006919C4">
        <w:rPr>
          <w:rFonts w:cs="Arial"/>
          <w:color w:val="000000" w:themeColor="text1"/>
        </w:rPr>
        <w:t xml:space="preserve">Tablica 1 Sažetak </w:t>
      </w:r>
      <w:r w:rsidR="00CB5C25" w:rsidRPr="006919C4">
        <w:rPr>
          <w:rFonts w:cs="Arial"/>
          <w:color w:val="000000" w:themeColor="text1"/>
        </w:rPr>
        <w:t>r</w:t>
      </w:r>
      <w:r w:rsidRPr="006919C4">
        <w:rPr>
          <w:rFonts w:cs="Arial"/>
          <w:color w:val="000000" w:themeColor="text1"/>
        </w:rPr>
        <w:t>ačuna prihoda i rashoda i Sažetak računa financiranja</w:t>
      </w:r>
    </w:p>
    <w:p w14:paraId="7B884F15" w14:textId="4A8A652B" w:rsidR="006542E2" w:rsidRPr="006919C4" w:rsidRDefault="006542E2" w:rsidP="006542E2">
      <w:pPr>
        <w:pStyle w:val="Odlomakpopisa"/>
        <w:numPr>
          <w:ilvl w:val="0"/>
          <w:numId w:val="18"/>
        </w:numPr>
        <w:spacing w:line="276" w:lineRule="auto"/>
        <w:rPr>
          <w:rFonts w:cs="Arial"/>
        </w:rPr>
      </w:pPr>
      <w:r w:rsidRPr="006919C4">
        <w:rPr>
          <w:rFonts w:cs="Arial"/>
          <w:color w:val="000000" w:themeColor="text1"/>
        </w:rPr>
        <w:t xml:space="preserve">Tablica 2 </w:t>
      </w:r>
      <w:r w:rsidR="006919C4" w:rsidRPr="006919C4">
        <w:rPr>
          <w:rFonts w:cs="Arial"/>
          <w:color w:val="000000" w:themeColor="text1"/>
        </w:rPr>
        <w:t>Račun prihoda i rashoda</w:t>
      </w:r>
      <w:r w:rsidR="00CB5C25" w:rsidRPr="006919C4">
        <w:rPr>
          <w:rFonts w:cs="Arial"/>
          <w:color w:val="000000" w:themeColor="text1"/>
        </w:rPr>
        <w:t xml:space="preserve"> – Izvještaj o prihodima i rashodima prema ekonomskoj klasifikaciji</w:t>
      </w:r>
    </w:p>
    <w:p w14:paraId="374EC247" w14:textId="41638338" w:rsidR="006542E2" w:rsidRPr="006919C4" w:rsidRDefault="006542E2" w:rsidP="006542E2">
      <w:pPr>
        <w:pStyle w:val="Odlomakpopisa"/>
        <w:numPr>
          <w:ilvl w:val="0"/>
          <w:numId w:val="18"/>
        </w:numPr>
        <w:spacing w:line="276" w:lineRule="auto"/>
        <w:rPr>
          <w:rFonts w:cs="Arial"/>
        </w:rPr>
      </w:pPr>
      <w:r w:rsidRPr="006919C4">
        <w:rPr>
          <w:rFonts w:cs="Arial"/>
          <w:color w:val="000000" w:themeColor="text1"/>
        </w:rPr>
        <w:t xml:space="preserve">Tablica 3 </w:t>
      </w:r>
      <w:r w:rsidR="006919C4" w:rsidRPr="006919C4">
        <w:rPr>
          <w:rFonts w:cs="Arial"/>
          <w:color w:val="000000" w:themeColor="text1"/>
        </w:rPr>
        <w:t>Račun prihoda i rashoda</w:t>
      </w:r>
      <w:r w:rsidR="00CB5C25" w:rsidRPr="006919C4">
        <w:rPr>
          <w:rFonts w:cs="Arial"/>
          <w:color w:val="000000" w:themeColor="text1"/>
        </w:rPr>
        <w:t xml:space="preserve"> – Izvještaj o prihodima i rashodima prema izvorima financiranja</w:t>
      </w:r>
    </w:p>
    <w:p w14:paraId="637FFC20" w14:textId="20F023C8" w:rsidR="006542E2" w:rsidRPr="006919C4" w:rsidRDefault="006542E2" w:rsidP="00CB5C25">
      <w:pPr>
        <w:pStyle w:val="Odlomakpopisa"/>
        <w:numPr>
          <w:ilvl w:val="0"/>
          <w:numId w:val="18"/>
        </w:numPr>
        <w:spacing w:line="276" w:lineRule="auto"/>
        <w:rPr>
          <w:rFonts w:cs="Arial"/>
          <w:color w:val="000000" w:themeColor="text1"/>
        </w:rPr>
      </w:pPr>
      <w:r w:rsidRPr="006919C4">
        <w:rPr>
          <w:rFonts w:cs="Arial"/>
          <w:color w:val="000000" w:themeColor="text1"/>
        </w:rPr>
        <w:t xml:space="preserve">Tablica 4 </w:t>
      </w:r>
      <w:r w:rsidR="006919C4" w:rsidRPr="006919C4">
        <w:rPr>
          <w:rFonts w:cs="Arial"/>
          <w:color w:val="000000" w:themeColor="text1"/>
        </w:rPr>
        <w:t xml:space="preserve">Račun prihoda i </w:t>
      </w:r>
      <w:r w:rsidR="00CB5C25" w:rsidRPr="006919C4">
        <w:rPr>
          <w:rFonts w:cs="Arial"/>
          <w:color w:val="000000" w:themeColor="text1"/>
        </w:rPr>
        <w:t xml:space="preserve">rashoda – Izvještaj </w:t>
      </w:r>
      <w:r w:rsidR="006919C4" w:rsidRPr="006919C4">
        <w:rPr>
          <w:rFonts w:cs="Arial"/>
          <w:color w:val="000000" w:themeColor="text1"/>
        </w:rPr>
        <w:t xml:space="preserve">o </w:t>
      </w:r>
      <w:r w:rsidR="00CB5C25" w:rsidRPr="006919C4">
        <w:rPr>
          <w:rFonts w:cs="Arial"/>
          <w:color w:val="000000" w:themeColor="text1"/>
        </w:rPr>
        <w:t>rashodima prema funkcijskoj klasifikaciji</w:t>
      </w:r>
    </w:p>
    <w:p w14:paraId="53015F30" w14:textId="3C25CEA8" w:rsidR="006D6C0B" w:rsidRPr="006919C4" w:rsidRDefault="006D6C0B" w:rsidP="006D6C0B">
      <w:pPr>
        <w:pStyle w:val="Odlomakpopisa"/>
        <w:numPr>
          <w:ilvl w:val="0"/>
          <w:numId w:val="18"/>
        </w:numPr>
        <w:spacing w:line="276" w:lineRule="auto"/>
        <w:rPr>
          <w:rFonts w:cs="Arial"/>
        </w:rPr>
      </w:pPr>
      <w:r w:rsidRPr="006919C4">
        <w:rPr>
          <w:rFonts w:cs="Arial"/>
          <w:color w:val="000000" w:themeColor="text1"/>
        </w:rPr>
        <w:t>Tablica 5 Posebni dio</w:t>
      </w:r>
      <w:r w:rsidR="004E5B37">
        <w:rPr>
          <w:rFonts w:cs="Arial"/>
          <w:color w:val="000000" w:themeColor="text1"/>
        </w:rPr>
        <w:t xml:space="preserve"> – Izvještaj po programskoj klasifikaciji</w:t>
      </w:r>
    </w:p>
    <w:p w14:paraId="1A38F2D2" w14:textId="5D12E630" w:rsidR="006542E2" w:rsidRDefault="006542E2" w:rsidP="00F50ECD">
      <w:pPr>
        <w:pStyle w:val="Odlomakpopisa"/>
        <w:tabs>
          <w:tab w:val="left" w:pos="113"/>
        </w:tabs>
        <w:rPr>
          <w:rFonts w:ascii="Times New Roman" w:hAnsi="Times New Roman"/>
        </w:rPr>
      </w:pPr>
    </w:p>
    <w:p w14:paraId="39159AC7" w14:textId="7757598D" w:rsidR="006919C4" w:rsidRDefault="006919C4" w:rsidP="00F50ECD">
      <w:pPr>
        <w:pStyle w:val="Odlomakpopisa"/>
        <w:tabs>
          <w:tab w:val="left" w:pos="113"/>
        </w:tabs>
        <w:rPr>
          <w:rFonts w:ascii="Times New Roman" w:hAnsi="Times New Roman"/>
        </w:rPr>
      </w:pPr>
    </w:p>
    <w:p w14:paraId="6D1363FD" w14:textId="519DB98A" w:rsidR="006240D0" w:rsidRDefault="006240D0" w:rsidP="00F50ECD">
      <w:pPr>
        <w:pStyle w:val="Odlomakpopisa"/>
        <w:tabs>
          <w:tab w:val="left" w:pos="113"/>
        </w:tabs>
        <w:rPr>
          <w:rFonts w:ascii="Times New Roman" w:hAnsi="Times New Roman"/>
        </w:rPr>
      </w:pPr>
    </w:p>
    <w:p w14:paraId="2AE3B3AF" w14:textId="08AAD728" w:rsidR="006240D0" w:rsidRDefault="006240D0" w:rsidP="00F50ECD">
      <w:pPr>
        <w:pStyle w:val="Odlomakpopisa"/>
        <w:tabs>
          <w:tab w:val="left" w:pos="113"/>
        </w:tabs>
        <w:rPr>
          <w:rFonts w:ascii="Times New Roman" w:hAnsi="Times New Roman"/>
        </w:rPr>
      </w:pPr>
    </w:p>
    <w:p w14:paraId="47D6D2F6" w14:textId="77777777" w:rsidR="00E8626D" w:rsidRDefault="00E8626D" w:rsidP="006240D0">
      <w:pPr>
        <w:widowControl/>
        <w:ind w:left="4963" w:firstLine="709"/>
        <w:rPr>
          <w:rFonts w:cs="Arial"/>
        </w:rPr>
      </w:pPr>
    </w:p>
    <w:p w14:paraId="3F05D380" w14:textId="77777777" w:rsidR="00E8626D" w:rsidRDefault="00E8626D" w:rsidP="006240D0">
      <w:pPr>
        <w:widowControl/>
        <w:ind w:left="4963" w:firstLine="709"/>
        <w:rPr>
          <w:rFonts w:cs="Arial"/>
        </w:rPr>
      </w:pPr>
    </w:p>
    <w:p w14:paraId="243667DB" w14:textId="4F1A4CEC" w:rsidR="006240D0" w:rsidRPr="00CA357C" w:rsidRDefault="006240D0" w:rsidP="006240D0">
      <w:pPr>
        <w:widowControl/>
        <w:ind w:left="4963" w:firstLine="709"/>
        <w:rPr>
          <w:rFonts w:cs="Arial"/>
        </w:rPr>
      </w:pPr>
      <w:r w:rsidRPr="00CA357C">
        <w:rPr>
          <w:rFonts w:cs="Arial"/>
        </w:rPr>
        <w:t>GLAVNI DRŽAVNI REVIZOR</w:t>
      </w:r>
    </w:p>
    <w:p w14:paraId="563B0756" w14:textId="77777777" w:rsidR="006240D0" w:rsidRPr="00CA357C" w:rsidRDefault="006240D0" w:rsidP="006240D0">
      <w:pPr>
        <w:widowControl/>
        <w:rPr>
          <w:rFonts w:cs="Arial"/>
        </w:rPr>
      </w:pPr>
    </w:p>
    <w:p w14:paraId="319552B9" w14:textId="2B2A99FC" w:rsidR="006240D0" w:rsidRDefault="00913A94" w:rsidP="006240D0">
      <w:pPr>
        <w:widowControl/>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bookmarkStart w:id="18" w:name="_GoBack"/>
      <w:bookmarkEnd w:id="18"/>
      <w:r w:rsidR="006240D0" w:rsidRPr="00CA357C">
        <w:rPr>
          <w:rFonts w:cs="Arial"/>
        </w:rPr>
        <w:t xml:space="preserve">mr. Ivan </w:t>
      </w:r>
      <w:proofErr w:type="spellStart"/>
      <w:r w:rsidR="006240D0" w:rsidRPr="00CA357C">
        <w:rPr>
          <w:rFonts w:cs="Arial"/>
        </w:rPr>
        <w:t>Klešić</w:t>
      </w:r>
      <w:proofErr w:type="spellEnd"/>
      <w:r w:rsidR="006240D0" w:rsidRPr="00CA357C">
        <w:rPr>
          <w:rFonts w:cs="Arial"/>
        </w:rPr>
        <w:t xml:space="preserve">, dipl. </w:t>
      </w:r>
      <w:proofErr w:type="spellStart"/>
      <w:r w:rsidR="006240D0" w:rsidRPr="00CA357C">
        <w:rPr>
          <w:rFonts w:cs="Arial"/>
        </w:rPr>
        <w:t>oec</w:t>
      </w:r>
      <w:proofErr w:type="spellEnd"/>
      <w:r w:rsidR="006240D0" w:rsidRPr="00CA357C">
        <w:rPr>
          <w:rFonts w:cs="Arial"/>
        </w:rPr>
        <w:t>.</w:t>
      </w:r>
      <w:r>
        <w:rPr>
          <w:rFonts w:cs="Arial"/>
        </w:rPr>
        <w:t>, v. r.</w:t>
      </w:r>
    </w:p>
    <w:p w14:paraId="48934CF0" w14:textId="77777777" w:rsidR="006240D0" w:rsidRDefault="006240D0" w:rsidP="006240D0">
      <w:pPr>
        <w:widowControl/>
        <w:rPr>
          <w:rFonts w:cs="Arial"/>
        </w:rPr>
      </w:pPr>
    </w:p>
    <w:p w14:paraId="55FB62D6" w14:textId="77777777" w:rsidR="006240D0" w:rsidRDefault="006240D0" w:rsidP="006240D0">
      <w:pPr>
        <w:widowControl/>
        <w:rPr>
          <w:rFonts w:cs="Arial"/>
        </w:rPr>
      </w:pPr>
    </w:p>
    <w:p w14:paraId="1D0CCAB0" w14:textId="527391FA" w:rsidR="006240D0" w:rsidRDefault="006240D0" w:rsidP="00F50ECD">
      <w:pPr>
        <w:pStyle w:val="Odlomakpopisa"/>
        <w:tabs>
          <w:tab w:val="left" w:pos="113"/>
        </w:tabs>
        <w:rPr>
          <w:rFonts w:ascii="Times New Roman" w:hAnsi="Times New Roman"/>
        </w:rPr>
      </w:pPr>
    </w:p>
    <w:p w14:paraId="36B3FF89" w14:textId="7B0E42F2" w:rsidR="006240D0" w:rsidRPr="006542E2" w:rsidRDefault="006240D0" w:rsidP="00F50ECD">
      <w:pPr>
        <w:pStyle w:val="Odlomakpopisa"/>
        <w:tabs>
          <w:tab w:val="left" w:pos="113"/>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6240D0" w:rsidRPr="006542E2" w:rsidSect="00D86DD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FF51" w14:textId="77777777" w:rsidR="008B3043" w:rsidRDefault="008B3043" w:rsidP="00304209">
      <w:r>
        <w:separator/>
      </w:r>
    </w:p>
  </w:endnote>
  <w:endnote w:type="continuationSeparator" w:id="0">
    <w:p w14:paraId="3CAC2675" w14:textId="77777777" w:rsidR="008B3043" w:rsidRDefault="008B3043" w:rsidP="0030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152665"/>
      <w:docPartObj>
        <w:docPartGallery w:val="Page Numbers (Bottom of Page)"/>
        <w:docPartUnique/>
      </w:docPartObj>
    </w:sdtPr>
    <w:sdtEndPr/>
    <w:sdtContent>
      <w:p w14:paraId="6881D9E8" w14:textId="6F91A683" w:rsidR="00872506" w:rsidRDefault="00872506">
        <w:pPr>
          <w:pStyle w:val="Podnoje"/>
          <w:jc w:val="center"/>
        </w:pPr>
        <w:r>
          <w:fldChar w:fldCharType="begin"/>
        </w:r>
        <w:r>
          <w:instrText>PAGE   \* MERGEFORMAT</w:instrText>
        </w:r>
        <w:r>
          <w:fldChar w:fldCharType="separate"/>
        </w:r>
        <w:r>
          <w:t>2</w:t>
        </w:r>
        <w:r>
          <w:fldChar w:fldCharType="end"/>
        </w:r>
      </w:p>
    </w:sdtContent>
  </w:sdt>
  <w:p w14:paraId="4999DD06" w14:textId="77777777" w:rsidR="00872506" w:rsidRDefault="008725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028567"/>
      <w:docPartObj>
        <w:docPartGallery w:val="Page Numbers (Bottom of Page)"/>
        <w:docPartUnique/>
      </w:docPartObj>
    </w:sdtPr>
    <w:sdtEndPr/>
    <w:sdtContent>
      <w:p w14:paraId="55C8D9A4" w14:textId="34E791E5" w:rsidR="00872506" w:rsidRDefault="00872506">
        <w:pPr>
          <w:pStyle w:val="Podnoje"/>
          <w:jc w:val="center"/>
        </w:pPr>
        <w:r>
          <w:fldChar w:fldCharType="begin"/>
        </w:r>
        <w:r>
          <w:instrText>PAGE   \* MERGEFORMAT</w:instrText>
        </w:r>
        <w:r>
          <w:fldChar w:fldCharType="separate"/>
        </w:r>
        <w:r w:rsidR="00913A94">
          <w:rPr>
            <w:noProof/>
          </w:rPr>
          <w:t>23</w:t>
        </w:r>
        <w:r>
          <w:fldChar w:fldCharType="end"/>
        </w:r>
      </w:p>
    </w:sdtContent>
  </w:sdt>
  <w:p w14:paraId="304A7921" w14:textId="77777777" w:rsidR="00872506" w:rsidRPr="009461FD" w:rsidRDefault="00872506" w:rsidP="009461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3056" w14:textId="77777777" w:rsidR="008B3043" w:rsidRDefault="008B3043" w:rsidP="00304209">
      <w:r>
        <w:separator/>
      </w:r>
    </w:p>
  </w:footnote>
  <w:footnote w:type="continuationSeparator" w:id="0">
    <w:p w14:paraId="03ADBE25" w14:textId="77777777" w:rsidR="008B3043" w:rsidRDefault="008B3043" w:rsidP="00304209">
      <w:r>
        <w:continuationSeparator/>
      </w:r>
    </w:p>
  </w:footnote>
  <w:footnote w:id="1">
    <w:p w14:paraId="1864FAA9" w14:textId="60182810" w:rsidR="00872506" w:rsidRPr="00B416E9" w:rsidRDefault="00872506">
      <w:pPr>
        <w:pStyle w:val="Tekstfusnote"/>
        <w:rPr>
          <w:color w:val="FF0000"/>
        </w:rPr>
      </w:pPr>
      <w:r w:rsidRPr="00A36246">
        <w:rPr>
          <w:rStyle w:val="Referencafusnote"/>
        </w:rPr>
        <w:t>*</w:t>
      </w:r>
      <w:r w:rsidRPr="00A36246">
        <w:t xml:space="preserve"> </w:t>
      </w:r>
      <w:r w:rsidRPr="00A36246">
        <w:rPr>
          <w:rFonts w:cs="Arial"/>
          <w:bCs/>
          <w:i/>
        </w:rPr>
        <w:t>Fiksni tečaj konverzije 7,53450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35773"/>
      <w:docPartObj>
        <w:docPartGallery w:val="Page Numbers (Top of Page)"/>
        <w:docPartUnique/>
      </w:docPartObj>
    </w:sdtPr>
    <w:sdtEndPr/>
    <w:sdtContent>
      <w:p w14:paraId="388A0A27" w14:textId="069BA230" w:rsidR="00872506" w:rsidRDefault="00872506">
        <w:pPr>
          <w:pStyle w:val="Zaglavlje"/>
          <w:jc w:val="center"/>
        </w:pPr>
        <w:r>
          <w:t>1</w:t>
        </w:r>
      </w:p>
    </w:sdtContent>
  </w:sdt>
  <w:p w14:paraId="5D79265C" w14:textId="77777777" w:rsidR="00872506" w:rsidRDefault="0087250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9B4"/>
    <w:multiLevelType w:val="hybridMultilevel"/>
    <w:tmpl w:val="097294A2"/>
    <w:lvl w:ilvl="0" w:tplc="8A126072">
      <w:start w:val="1"/>
      <w:numFmt w:val="decimal"/>
      <w:pStyle w:val="Style1"/>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B89400A"/>
    <w:multiLevelType w:val="hybridMultilevel"/>
    <w:tmpl w:val="378AFF32"/>
    <w:lvl w:ilvl="0" w:tplc="F7925054">
      <w:start w:val="13"/>
      <w:numFmt w:val="bullet"/>
      <w:lvlText w:val="-"/>
      <w:lvlJc w:val="left"/>
      <w:pPr>
        <w:ind w:left="927" w:hanging="360"/>
      </w:pPr>
      <w:rPr>
        <w:rFonts w:ascii="Bookman Old Style" w:eastAsia="Times New Roman"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0FB664B4"/>
    <w:multiLevelType w:val="multilevel"/>
    <w:tmpl w:val="A2DEB358"/>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E0D32"/>
    <w:multiLevelType w:val="multilevel"/>
    <w:tmpl w:val="A2DEB358"/>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25B6B"/>
    <w:multiLevelType w:val="hybridMultilevel"/>
    <w:tmpl w:val="B47224FE"/>
    <w:lvl w:ilvl="0" w:tplc="37E24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9C2A67"/>
    <w:multiLevelType w:val="hybridMultilevel"/>
    <w:tmpl w:val="AF2E28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9C7250"/>
    <w:multiLevelType w:val="hybridMultilevel"/>
    <w:tmpl w:val="5B00A19C"/>
    <w:lvl w:ilvl="0" w:tplc="041A0017">
      <w:start w:val="1"/>
      <w:numFmt w:val="lowerLetter"/>
      <w:lvlText w:val="%1)"/>
      <w:lvlJc w:val="left"/>
      <w:pPr>
        <w:ind w:left="1344" w:hanging="360"/>
      </w:pPr>
    </w:lvl>
    <w:lvl w:ilvl="1" w:tplc="041A0019" w:tentative="1">
      <w:start w:val="1"/>
      <w:numFmt w:val="lowerLetter"/>
      <w:lvlText w:val="%2."/>
      <w:lvlJc w:val="left"/>
      <w:pPr>
        <w:ind w:left="2064" w:hanging="360"/>
      </w:pPr>
    </w:lvl>
    <w:lvl w:ilvl="2" w:tplc="041A001B" w:tentative="1">
      <w:start w:val="1"/>
      <w:numFmt w:val="lowerRoman"/>
      <w:lvlText w:val="%3."/>
      <w:lvlJc w:val="right"/>
      <w:pPr>
        <w:ind w:left="2784" w:hanging="180"/>
      </w:pPr>
    </w:lvl>
    <w:lvl w:ilvl="3" w:tplc="041A000F" w:tentative="1">
      <w:start w:val="1"/>
      <w:numFmt w:val="decimal"/>
      <w:lvlText w:val="%4."/>
      <w:lvlJc w:val="left"/>
      <w:pPr>
        <w:ind w:left="3504" w:hanging="360"/>
      </w:pPr>
    </w:lvl>
    <w:lvl w:ilvl="4" w:tplc="041A0019" w:tentative="1">
      <w:start w:val="1"/>
      <w:numFmt w:val="lowerLetter"/>
      <w:lvlText w:val="%5."/>
      <w:lvlJc w:val="left"/>
      <w:pPr>
        <w:ind w:left="4224" w:hanging="360"/>
      </w:pPr>
    </w:lvl>
    <w:lvl w:ilvl="5" w:tplc="041A001B" w:tentative="1">
      <w:start w:val="1"/>
      <w:numFmt w:val="lowerRoman"/>
      <w:lvlText w:val="%6."/>
      <w:lvlJc w:val="right"/>
      <w:pPr>
        <w:ind w:left="4944" w:hanging="180"/>
      </w:pPr>
    </w:lvl>
    <w:lvl w:ilvl="6" w:tplc="041A000F" w:tentative="1">
      <w:start w:val="1"/>
      <w:numFmt w:val="decimal"/>
      <w:lvlText w:val="%7."/>
      <w:lvlJc w:val="left"/>
      <w:pPr>
        <w:ind w:left="5664" w:hanging="360"/>
      </w:pPr>
    </w:lvl>
    <w:lvl w:ilvl="7" w:tplc="041A0019" w:tentative="1">
      <w:start w:val="1"/>
      <w:numFmt w:val="lowerLetter"/>
      <w:lvlText w:val="%8."/>
      <w:lvlJc w:val="left"/>
      <w:pPr>
        <w:ind w:left="6384" w:hanging="360"/>
      </w:pPr>
    </w:lvl>
    <w:lvl w:ilvl="8" w:tplc="041A001B" w:tentative="1">
      <w:start w:val="1"/>
      <w:numFmt w:val="lowerRoman"/>
      <w:lvlText w:val="%9."/>
      <w:lvlJc w:val="right"/>
      <w:pPr>
        <w:ind w:left="7104" w:hanging="180"/>
      </w:pPr>
    </w:lvl>
  </w:abstractNum>
  <w:abstractNum w:abstractNumId="7" w15:restartNumberingAfterBreak="0">
    <w:nsid w:val="18965D1F"/>
    <w:multiLevelType w:val="hybridMultilevel"/>
    <w:tmpl w:val="010EB0F0"/>
    <w:lvl w:ilvl="0" w:tplc="605AEAA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D92B53"/>
    <w:multiLevelType w:val="hybridMultilevel"/>
    <w:tmpl w:val="9196AE98"/>
    <w:lvl w:ilvl="0" w:tplc="989C46E8">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1F3D3121"/>
    <w:multiLevelType w:val="hybridMultilevel"/>
    <w:tmpl w:val="D688AD78"/>
    <w:lvl w:ilvl="0" w:tplc="70E2121E">
      <w:start w:val="1"/>
      <w:numFmt w:val="bullet"/>
      <w:lvlText w:val="−"/>
      <w:lvlJc w:val="left"/>
      <w:pPr>
        <w:ind w:left="720" w:hanging="360"/>
      </w:pPr>
      <w:rPr>
        <w:rFonts w:ascii="Arial"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B3545F"/>
    <w:multiLevelType w:val="hybridMultilevel"/>
    <w:tmpl w:val="8460FFF0"/>
    <w:lvl w:ilvl="0" w:tplc="125836CC">
      <w:start w:val="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AC7DDE"/>
    <w:multiLevelType w:val="multilevel"/>
    <w:tmpl w:val="1390CC5C"/>
    <w:lvl w:ilvl="0">
      <w:start w:val="2"/>
      <w:numFmt w:val="decimal"/>
      <w:lvlText w:val="%1."/>
      <w:lvlJc w:val="left"/>
      <w:pPr>
        <w:ind w:left="480" w:hanging="48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226B1C6E"/>
    <w:multiLevelType w:val="multilevel"/>
    <w:tmpl w:val="CB2E3C4A"/>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3" w15:restartNumberingAfterBreak="0">
    <w:nsid w:val="2596212F"/>
    <w:multiLevelType w:val="hybridMultilevel"/>
    <w:tmpl w:val="7A385D14"/>
    <w:lvl w:ilvl="0" w:tplc="041A0001">
      <w:start w:val="4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914F6A"/>
    <w:multiLevelType w:val="hybridMultilevel"/>
    <w:tmpl w:val="A676A7A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2B9D7171"/>
    <w:multiLevelType w:val="hybridMultilevel"/>
    <w:tmpl w:val="0A2ED80A"/>
    <w:lvl w:ilvl="0" w:tplc="70E2121E">
      <w:start w:val="1"/>
      <w:numFmt w:val="bullet"/>
      <w:lvlText w:val="−"/>
      <w:lvlJc w:val="left"/>
      <w:pPr>
        <w:ind w:left="1068" w:hanging="360"/>
      </w:pPr>
      <w:rPr>
        <w:rFonts w:ascii="Arial"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2D7817E5"/>
    <w:multiLevelType w:val="hybridMultilevel"/>
    <w:tmpl w:val="3EB6190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2E48445A"/>
    <w:multiLevelType w:val="hybridMultilevel"/>
    <w:tmpl w:val="C472E4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804980"/>
    <w:multiLevelType w:val="hybridMultilevel"/>
    <w:tmpl w:val="ED58F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4C4A4F"/>
    <w:multiLevelType w:val="multilevel"/>
    <w:tmpl w:val="DE4A687C"/>
    <w:lvl w:ilvl="0">
      <w:start w:val="11"/>
      <w:numFmt w:val="decimal"/>
      <w:lvlText w:val="%1"/>
      <w:lvlJc w:val="left"/>
      <w:pPr>
        <w:ind w:left="768" w:hanging="768"/>
      </w:pPr>
      <w:rPr>
        <w:rFonts w:hint="default"/>
      </w:rPr>
    </w:lvl>
    <w:lvl w:ilvl="1">
      <w:start w:val="165"/>
      <w:numFmt w:val="decimal"/>
      <w:lvlText w:val="%1.%2"/>
      <w:lvlJc w:val="left"/>
      <w:pPr>
        <w:ind w:left="768" w:hanging="768"/>
      </w:pPr>
      <w:rPr>
        <w:rFonts w:hint="default"/>
      </w:rPr>
    </w:lvl>
    <w:lvl w:ilvl="2">
      <w:start w:val="67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F7659A"/>
    <w:multiLevelType w:val="hybridMultilevel"/>
    <w:tmpl w:val="CA281D92"/>
    <w:lvl w:ilvl="0" w:tplc="65ACDEEE">
      <w:numFmt w:val="bullet"/>
      <w:lvlText w:val="–"/>
      <w:lvlJc w:val="left"/>
      <w:pPr>
        <w:ind w:left="840" w:hanging="360"/>
      </w:pPr>
      <w:rPr>
        <w:rFonts w:ascii="Arial" w:eastAsiaTheme="minorHAnsi" w:hAnsi="Arial" w:hint="default"/>
        <w:b w:val="0"/>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1" w15:restartNumberingAfterBreak="0">
    <w:nsid w:val="35EE2EDD"/>
    <w:multiLevelType w:val="hybridMultilevel"/>
    <w:tmpl w:val="93466B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5567B2"/>
    <w:multiLevelType w:val="multilevel"/>
    <w:tmpl w:val="B18CBED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B40E20"/>
    <w:multiLevelType w:val="hybridMultilevel"/>
    <w:tmpl w:val="4D2C2688"/>
    <w:lvl w:ilvl="0" w:tplc="E4AC3CA8">
      <w:start w:val="5"/>
      <w:numFmt w:val="bullet"/>
      <w:lvlText w:val="-"/>
      <w:lvlJc w:val="left"/>
      <w:pPr>
        <w:ind w:left="930" w:hanging="360"/>
      </w:pPr>
      <w:rPr>
        <w:rFonts w:ascii="Times New Roman" w:eastAsia="Arial Unicode MS"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4" w15:restartNumberingAfterBreak="0">
    <w:nsid w:val="41826171"/>
    <w:multiLevelType w:val="multilevel"/>
    <w:tmpl w:val="DD48AAC8"/>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03493E"/>
    <w:multiLevelType w:val="hybridMultilevel"/>
    <w:tmpl w:val="93D4D34A"/>
    <w:lvl w:ilvl="0" w:tplc="6616D644">
      <w:start w:val="4"/>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6" w15:restartNumberingAfterBreak="0">
    <w:nsid w:val="52892791"/>
    <w:multiLevelType w:val="hybridMultilevel"/>
    <w:tmpl w:val="EDF21DFE"/>
    <w:lvl w:ilvl="0" w:tplc="3FB2190A">
      <w:numFmt w:val="bullet"/>
      <w:lvlText w:val="-"/>
      <w:lvlJc w:val="left"/>
      <w:pPr>
        <w:ind w:left="1068" w:hanging="360"/>
      </w:pPr>
      <w:rPr>
        <w:rFonts w:ascii="Times New Roman" w:eastAsiaTheme="maj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640D0171"/>
    <w:multiLevelType w:val="hybridMultilevel"/>
    <w:tmpl w:val="1EEA5F18"/>
    <w:lvl w:ilvl="0" w:tplc="041A0001">
      <w:start w:val="78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AD3745E"/>
    <w:multiLevelType w:val="hybridMultilevel"/>
    <w:tmpl w:val="4ECC67A4"/>
    <w:lvl w:ilvl="0" w:tplc="53FE9602">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9" w15:restartNumberingAfterBreak="0">
    <w:nsid w:val="6BC711F1"/>
    <w:multiLevelType w:val="hybridMultilevel"/>
    <w:tmpl w:val="2EDAB5D6"/>
    <w:lvl w:ilvl="0" w:tplc="6B4E153E">
      <w:start w:val="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0" w15:restartNumberingAfterBreak="0">
    <w:nsid w:val="71B7556C"/>
    <w:multiLevelType w:val="hybridMultilevel"/>
    <w:tmpl w:val="A5DA1CB8"/>
    <w:lvl w:ilvl="0" w:tplc="041A000B">
      <w:start w:val="1"/>
      <w:numFmt w:val="bullet"/>
      <w:lvlText w:val=""/>
      <w:lvlJc w:val="left"/>
      <w:pPr>
        <w:ind w:left="873" w:hanging="360"/>
      </w:pPr>
      <w:rPr>
        <w:rFonts w:ascii="Wingdings" w:hAnsi="Wingdings" w:hint="default"/>
      </w:rPr>
    </w:lvl>
    <w:lvl w:ilvl="1" w:tplc="041A0003">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31" w15:restartNumberingAfterBreak="0">
    <w:nsid w:val="727E238B"/>
    <w:multiLevelType w:val="multilevel"/>
    <w:tmpl w:val="796E0A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415B07"/>
    <w:multiLevelType w:val="hybridMultilevel"/>
    <w:tmpl w:val="708AC1A0"/>
    <w:lvl w:ilvl="0" w:tplc="70E2121E">
      <w:start w:val="1"/>
      <w:numFmt w:val="bullet"/>
      <w:lvlText w:val="−"/>
      <w:lvlJc w:val="left"/>
      <w:pPr>
        <w:ind w:left="1488" w:hanging="360"/>
      </w:pPr>
      <w:rPr>
        <w:rFonts w:ascii="Arial" w:hAnsi="Arial"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33" w15:restartNumberingAfterBreak="0">
    <w:nsid w:val="7C202CB8"/>
    <w:multiLevelType w:val="hybridMultilevel"/>
    <w:tmpl w:val="E5F4682C"/>
    <w:lvl w:ilvl="0" w:tplc="00F29E86">
      <w:numFmt w:val="bullet"/>
      <w:lvlText w:val="-"/>
      <w:lvlJc w:val="left"/>
      <w:pPr>
        <w:ind w:left="1068" w:hanging="360"/>
      </w:pPr>
      <w:rPr>
        <w:rFonts w:ascii="Times New Roman" w:eastAsiaTheme="maj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7DAD2C8E"/>
    <w:multiLevelType w:val="hybridMultilevel"/>
    <w:tmpl w:val="0C8CADE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32"/>
  </w:num>
  <w:num w:numId="5">
    <w:abstractNumId w:val="31"/>
  </w:num>
  <w:num w:numId="6">
    <w:abstractNumId w:val="28"/>
  </w:num>
  <w:num w:numId="7">
    <w:abstractNumId w:val="1"/>
  </w:num>
  <w:num w:numId="8">
    <w:abstractNumId w:val="10"/>
  </w:num>
  <w:num w:numId="9">
    <w:abstractNumId w:val="6"/>
  </w:num>
  <w:num w:numId="10">
    <w:abstractNumId w:val="15"/>
  </w:num>
  <w:num w:numId="11">
    <w:abstractNumId w:val="33"/>
  </w:num>
  <w:num w:numId="12">
    <w:abstractNumId w:val="26"/>
  </w:num>
  <w:num w:numId="13">
    <w:abstractNumId w:val="21"/>
  </w:num>
  <w:num w:numId="14">
    <w:abstractNumId w:val="8"/>
  </w:num>
  <w:num w:numId="15">
    <w:abstractNumId w:val="27"/>
  </w:num>
  <w:num w:numId="16">
    <w:abstractNumId w:val="22"/>
  </w:num>
  <w:num w:numId="17">
    <w:abstractNumId w:val="29"/>
  </w:num>
  <w:num w:numId="18">
    <w:abstractNumId w:val="18"/>
  </w:num>
  <w:num w:numId="19">
    <w:abstractNumId w:val="24"/>
  </w:num>
  <w:num w:numId="20">
    <w:abstractNumId w:val="5"/>
  </w:num>
  <w:num w:numId="21">
    <w:abstractNumId w:val="4"/>
  </w:num>
  <w:num w:numId="22">
    <w:abstractNumId w:val="0"/>
  </w:num>
  <w:num w:numId="23">
    <w:abstractNumId w:val="3"/>
  </w:num>
  <w:num w:numId="24">
    <w:abstractNumId w:val="19"/>
  </w:num>
  <w:num w:numId="25">
    <w:abstractNumId w:val="13"/>
  </w:num>
  <w:num w:numId="26">
    <w:abstractNumId w:val="23"/>
  </w:num>
  <w:num w:numId="27">
    <w:abstractNumId w:val="25"/>
  </w:num>
  <w:num w:numId="28">
    <w:abstractNumId w:val="9"/>
  </w:num>
  <w:num w:numId="29">
    <w:abstractNumId w:val="11"/>
  </w:num>
  <w:num w:numId="30">
    <w:abstractNumId w:val="30"/>
  </w:num>
  <w:num w:numId="31">
    <w:abstractNumId w:val="16"/>
  </w:num>
  <w:num w:numId="32">
    <w:abstractNumId w:val="12"/>
  </w:num>
  <w:num w:numId="33">
    <w:abstractNumId w:val="2"/>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CE"/>
    <w:rsid w:val="0000028F"/>
    <w:rsid w:val="00000B27"/>
    <w:rsid w:val="00000D72"/>
    <w:rsid w:val="000015D2"/>
    <w:rsid w:val="0000307B"/>
    <w:rsid w:val="000032D2"/>
    <w:rsid w:val="000036CC"/>
    <w:rsid w:val="000037E9"/>
    <w:rsid w:val="00003FC9"/>
    <w:rsid w:val="0000431C"/>
    <w:rsid w:val="000044B0"/>
    <w:rsid w:val="000049E9"/>
    <w:rsid w:val="0000688D"/>
    <w:rsid w:val="00006975"/>
    <w:rsid w:val="000073A2"/>
    <w:rsid w:val="00007426"/>
    <w:rsid w:val="00011916"/>
    <w:rsid w:val="0001199C"/>
    <w:rsid w:val="00011D86"/>
    <w:rsid w:val="0001202A"/>
    <w:rsid w:val="00012C07"/>
    <w:rsid w:val="0001367E"/>
    <w:rsid w:val="000156BA"/>
    <w:rsid w:val="00016DE8"/>
    <w:rsid w:val="00017307"/>
    <w:rsid w:val="00021EA2"/>
    <w:rsid w:val="0002227F"/>
    <w:rsid w:val="00022F3D"/>
    <w:rsid w:val="00024357"/>
    <w:rsid w:val="0002476B"/>
    <w:rsid w:val="000248E1"/>
    <w:rsid w:val="000251D3"/>
    <w:rsid w:val="000258A0"/>
    <w:rsid w:val="0002682F"/>
    <w:rsid w:val="0002725E"/>
    <w:rsid w:val="00030843"/>
    <w:rsid w:val="00031B0A"/>
    <w:rsid w:val="000327AA"/>
    <w:rsid w:val="00033127"/>
    <w:rsid w:val="00033D9D"/>
    <w:rsid w:val="0003430A"/>
    <w:rsid w:val="0003443A"/>
    <w:rsid w:val="00034883"/>
    <w:rsid w:val="00035DEA"/>
    <w:rsid w:val="00035E2C"/>
    <w:rsid w:val="000371B9"/>
    <w:rsid w:val="00037C70"/>
    <w:rsid w:val="00041D2F"/>
    <w:rsid w:val="0004225D"/>
    <w:rsid w:val="00042FBA"/>
    <w:rsid w:val="000432C7"/>
    <w:rsid w:val="00047226"/>
    <w:rsid w:val="000477C3"/>
    <w:rsid w:val="00047DE5"/>
    <w:rsid w:val="000505A4"/>
    <w:rsid w:val="00050728"/>
    <w:rsid w:val="000508AF"/>
    <w:rsid w:val="00052143"/>
    <w:rsid w:val="0005270D"/>
    <w:rsid w:val="00052FAD"/>
    <w:rsid w:val="00053748"/>
    <w:rsid w:val="000552AD"/>
    <w:rsid w:val="00055BAF"/>
    <w:rsid w:val="000605F3"/>
    <w:rsid w:val="000622A5"/>
    <w:rsid w:val="000637C8"/>
    <w:rsid w:val="00063E26"/>
    <w:rsid w:val="0006560E"/>
    <w:rsid w:val="000665BA"/>
    <w:rsid w:val="000665D6"/>
    <w:rsid w:val="000667F8"/>
    <w:rsid w:val="0006734A"/>
    <w:rsid w:val="00067FC1"/>
    <w:rsid w:val="0007108A"/>
    <w:rsid w:val="00071B11"/>
    <w:rsid w:val="00071DB0"/>
    <w:rsid w:val="00073F34"/>
    <w:rsid w:val="0007445F"/>
    <w:rsid w:val="00075B12"/>
    <w:rsid w:val="0008073B"/>
    <w:rsid w:val="00080B84"/>
    <w:rsid w:val="00080DDA"/>
    <w:rsid w:val="0008103A"/>
    <w:rsid w:val="00081C35"/>
    <w:rsid w:val="0008291B"/>
    <w:rsid w:val="00082EF7"/>
    <w:rsid w:val="000858BC"/>
    <w:rsid w:val="00086020"/>
    <w:rsid w:val="00086B8E"/>
    <w:rsid w:val="0008724E"/>
    <w:rsid w:val="000905F7"/>
    <w:rsid w:val="0009063B"/>
    <w:rsid w:val="000921D5"/>
    <w:rsid w:val="00092EF6"/>
    <w:rsid w:val="00092F20"/>
    <w:rsid w:val="000958AB"/>
    <w:rsid w:val="00096BF3"/>
    <w:rsid w:val="0009733A"/>
    <w:rsid w:val="00097BA9"/>
    <w:rsid w:val="000A7285"/>
    <w:rsid w:val="000B1377"/>
    <w:rsid w:val="000B2292"/>
    <w:rsid w:val="000B4A3F"/>
    <w:rsid w:val="000B4CE3"/>
    <w:rsid w:val="000B4D36"/>
    <w:rsid w:val="000B5668"/>
    <w:rsid w:val="000B5F02"/>
    <w:rsid w:val="000C1467"/>
    <w:rsid w:val="000C1650"/>
    <w:rsid w:val="000C1C82"/>
    <w:rsid w:val="000C20B1"/>
    <w:rsid w:val="000C2625"/>
    <w:rsid w:val="000C41D4"/>
    <w:rsid w:val="000C5975"/>
    <w:rsid w:val="000C641D"/>
    <w:rsid w:val="000C64D8"/>
    <w:rsid w:val="000C69D6"/>
    <w:rsid w:val="000C6D1F"/>
    <w:rsid w:val="000C77E8"/>
    <w:rsid w:val="000D0F25"/>
    <w:rsid w:val="000D1BCB"/>
    <w:rsid w:val="000D289D"/>
    <w:rsid w:val="000D503C"/>
    <w:rsid w:val="000D7509"/>
    <w:rsid w:val="000D7F32"/>
    <w:rsid w:val="000E0134"/>
    <w:rsid w:val="000E05AA"/>
    <w:rsid w:val="000E0959"/>
    <w:rsid w:val="000E2335"/>
    <w:rsid w:val="000E24E2"/>
    <w:rsid w:val="000E26DA"/>
    <w:rsid w:val="000E2CF6"/>
    <w:rsid w:val="000E336F"/>
    <w:rsid w:val="000E565D"/>
    <w:rsid w:val="000E585E"/>
    <w:rsid w:val="000E5A44"/>
    <w:rsid w:val="000E5D50"/>
    <w:rsid w:val="000E6EBE"/>
    <w:rsid w:val="000F3CBE"/>
    <w:rsid w:val="000F45CE"/>
    <w:rsid w:val="000F5324"/>
    <w:rsid w:val="000F5C0E"/>
    <w:rsid w:val="000F5E0C"/>
    <w:rsid w:val="000F7106"/>
    <w:rsid w:val="000F7586"/>
    <w:rsid w:val="00100A3B"/>
    <w:rsid w:val="00100AB5"/>
    <w:rsid w:val="00103C2B"/>
    <w:rsid w:val="001062A0"/>
    <w:rsid w:val="0010634E"/>
    <w:rsid w:val="00106AC1"/>
    <w:rsid w:val="00110229"/>
    <w:rsid w:val="0011081D"/>
    <w:rsid w:val="001110B4"/>
    <w:rsid w:val="001118F8"/>
    <w:rsid w:val="001126AB"/>
    <w:rsid w:val="00112FA7"/>
    <w:rsid w:val="001142DD"/>
    <w:rsid w:val="001209B3"/>
    <w:rsid w:val="00120BC2"/>
    <w:rsid w:val="00120EA9"/>
    <w:rsid w:val="00121AF1"/>
    <w:rsid w:val="00121DBB"/>
    <w:rsid w:val="00122159"/>
    <w:rsid w:val="001240B7"/>
    <w:rsid w:val="001240F0"/>
    <w:rsid w:val="001241E6"/>
    <w:rsid w:val="00126079"/>
    <w:rsid w:val="00130D51"/>
    <w:rsid w:val="00131C65"/>
    <w:rsid w:val="00132917"/>
    <w:rsid w:val="00132EAC"/>
    <w:rsid w:val="0013313E"/>
    <w:rsid w:val="001342D9"/>
    <w:rsid w:val="001342F4"/>
    <w:rsid w:val="001345C3"/>
    <w:rsid w:val="00134851"/>
    <w:rsid w:val="001352A4"/>
    <w:rsid w:val="00135A8E"/>
    <w:rsid w:val="001405DC"/>
    <w:rsid w:val="00141523"/>
    <w:rsid w:val="0014214A"/>
    <w:rsid w:val="0014214B"/>
    <w:rsid w:val="00142F59"/>
    <w:rsid w:val="00143A14"/>
    <w:rsid w:val="00145399"/>
    <w:rsid w:val="00145725"/>
    <w:rsid w:val="0014579E"/>
    <w:rsid w:val="001477B3"/>
    <w:rsid w:val="00147E57"/>
    <w:rsid w:val="001501FF"/>
    <w:rsid w:val="00151C31"/>
    <w:rsid w:val="001532AD"/>
    <w:rsid w:val="0015554B"/>
    <w:rsid w:val="00156F48"/>
    <w:rsid w:val="00156F7C"/>
    <w:rsid w:val="001575E1"/>
    <w:rsid w:val="00157EE7"/>
    <w:rsid w:val="0016094D"/>
    <w:rsid w:val="001620C4"/>
    <w:rsid w:val="00162993"/>
    <w:rsid w:val="001629D4"/>
    <w:rsid w:val="00162C40"/>
    <w:rsid w:val="0016376C"/>
    <w:rsid w:val="00163AAA"/>
    <w:rsid w:val="00163F6B"/>
    <w:rsid w:val="00165193"/>
    <w:rsid w:val="00165346"/>
    <w:rsid w:val="001661E4"/>
    <w:rsid w:val="001674CB"/>
    <w:rsid w:val="001701EB"/>
    <w:rsid w:val="00171E0B"/>
    <w:rsid w:val="0017211D"/>
    <w:rsid w:val="0017258F"/>
    <w:rsid w:val="001728AE"/>
    <w:rsid w:val="001738AF"/>
    <w:rsid w:val="0017413A"/>
    <w:rsid w:val="001774A4"/>
    <w:rsid w:val="00180892"/>
    <w:rsid w:val="00180CD2"/>
    <w:rsid w:val="00183674"/>
    <w:rsid w:val="001836CB"/>
    <w:rsid w:val="00183707"/>
    <w:rsid w:val="0018649E"/>
    <w:rsid w:val="001904EF"/>
    <w:rsid w:val="00190E25"/>
    <w:rsid w:val="00193C8F"/>
    <w:rsid w:val="00194E51"/>
    <w:rsid w:val="001A10C8"/>
    <w:rsid w:val="001A18CF"/>
    <w:rsid w:val="001A1E8B"/>
    <w:rsid w:val="001A27E4"/>
    <w:rsid w:val="001A2AEF"/>
    <w:rsid w:val="001A4FB7"/>
    <w:rsid w:val="001A6B80"/>
    <w:rsid w:val="001A725E"/>
    <w:rsid w:val="001A7EDE"/>
    <w:rsid w:val="001B0AEA"/>
    <w:rsid w:val="001B1BD5"/>
    <w:rsid w:val="001B1C0A"/>
    <w:rsid w:val="001B2859"/>
    <w:rsid w:val="001B2EAC"/>
    <w:rsid w:val="001B3389"/>
    <w:rsid w:val="001B5725"/>
    <w:rsid w:val="001B5E1A"/>
    <w:rsid w:val="001B5FBD"/>
    <w:rsid w:val="001B775E"/>
    <w:rsid w:val="001C1879"/>
    <w:rsid w:val="001C298B"/>
    <w:rsid w:val="001C29D4"/>
    <w:rsid w:val="001C39A2"/>
    <w:rsid w:val="001C3A87"/>
    <w:rsid w:val="001C4255"/>
    <w:rsid w:val="001C4762"/>
    <w:rsid w:val="001C5540"/>
    <w:rsid w:val="001C6280"/>
    <w:rsid w:val="001C6D60"/>
    <w:rsid w:val="001C6DEE"/>
    <w:rsid w:val="001C7C16"/>
    <w:rsid w:val="001D1A97"/>
    <w:rsid w:val="001D27AA"/>
    <w:rsid w:val="001D30F0"/>
    <w:rsid w:val="001D46B8"/>
    <w:rsid w:val="001D5678"/>
    <w:rsid w:val="001D6085"/>
    <w:rsid w:val="001E1089"/>
    <w:rsid w:val="001E1E90"/>
    <w:rsid w:val="001E3BCE"/>
    <w:rsid w:val="001E53D4"/>
    <w:rsid w:val="001E5DE2"/>
    <w:rsid w:val="001E76A1"/>
    <w:rsid w:val="001E7892"/>
    <w:rsid w:val="001E7912"/>
    <w:rsid w:val="001F090C"/>
    <w:rsid w:val="001F1223"/>
    <w:rsid w:val="001F1AC3"/>
    <w:rsid w:val="001F339F"/>
    <w:rsid w:val="001F479B"/>
    <w:rsid w:val="001F532B"/>
    <w:rsid w:val="001F5D0B"/>
    <w:rsid w:val="001F6D11"/>
    <w:rsid w:val="00200120"/>
    <w:rsid w:val="0020064C"/>
    <w:rsid w:val="00201F4B"/>
    <w:rsid w:val="002041A1"/>
    <w:rsid w:val="00204E98"/>
    <w:rsid w:val="002063D4"/>
    <w:rsid w:val="0021085D"/>
    <w:rsid w:val="00211865"/>
    <w:rsid w:val="00215A61"/>
    <w:rsid w:val="002223E0"/>
    <w:rsid w:val="00223E09"/>
    <w:rsid w:val="002251E9"/>
    <w:rsid w:val="00227BCF"/>
    <w:rsid w:val="00231D40"/>
    <w:rsid w:val="00232956"/>
    <w:rsid w:val="00234678"/>
    <w:rsid w:val="00235A30"/>
    <w:rsid w:val="00236FE8"/>
    <w:rsid w:val="0023735D"/>
    <w:rsid w:val="00241C4A"/>
    <w:rsid w:val="002425E0"/>
    <w:rsid w:val="00243204"/>
    <w:rsid w:val="00244291"/>
    <w:rsid w:val="002459ED"/>
    <w:rsid w:val="00245BFD"/>
    <w:rsid w:val="00247A61"/>
    <w:rsid w:val="00250ADE"/>
    <w:rsid w:val="00252115"/>
    <w:rsid w:val="00253110"/>
    <w:rsid w:val="00253B02"/>
    <w:rsid w:val="00255A3B"/>
    <w:rsid w:val="00256627"/>
    <w:rsid w:val="0025664E"/>
    <w:rsid w:val="00262462"/>
    <w:rsid w:val="00262F6C"/>
    <w:rsid w:val="00265377"/>
    <w:rsid w:val="00266F96"/>
    <w:rsid w:val="00267EF9"/>
    <w:rsid w:val="00270048"/>
    <w:rsid w:val="00272BC1"/>
    <w:rsid w:val="002751EF"/>
    <w:rsid w:val="00275949"/>
    <w:rsid w:val="002803AE"/>
    <w:rsid w:val="00280AD0"/>
    <w:rsid w:val="00281BD3"/>
    <w:rsid w:val="00281E26"/>
    <w:rsid w:val="00286942"/>
    <w:rsid w:val="0029279C"/>
    <w:rsid w:val="00292A12"/>
    <w:rsid w:val="00296326"/>
    <w:rsid w:val="00296F71"/>
    <w:rsid w:val="002A194D"/>
    <w:rsid w:val="002A2147"/>
    <w:rsid w:val="002A3D91"/>
    <w:rsid w:val="002A3E6D"/>
    <w:rsid w:val="002A50B8"/>
    <w:rsid w:val="002A6783"/>
    <w:rsid w:val="002A6A15"/>
    <w:rsid w:val="002A7927"/>
    <w:rsid w:val="002B1EFC"/>
    <w:rsid w:val="002B275E"/>
    <w:rsid w:val="002B2777"/>
    <w:rsid w:val="002B2BA8"/>
    <w:rsid w:val="002B38C5"/>
    <w:rsid w:val="002B4220"/>
    <w:rsid w:val="002B62F3"/>
    <w:rsid w:val="002B6824"/>
    <w:rsid w:val="002B6EF6"/>
    <w:rsid w:val="002B7597"/>
    <w:rsid w:val="002B7AFD"/>
    <w:rsid w:val="002B7F2A"/>
    <w:rsid w:val="002C14FD"/>
    <w:rsid w:val="002C3BD6"/>
    <w:rsid w:val="002C46B8"/>
    <w:rsid w:val="002C4E18"/>
    <w:rsid w:val="002D082A"/>
    <w:rsid w:val="002D3147"/>
    <w:rsid w:val="002D3A8D"/>
    <w:rsid w:val="002D7CA2"/>
    <w:rsid w:val="002E016C"/>
    <w:rsid w:val="002E0DB5"/>
    <w:rsid w:val="002E18D0"/>
    <w:rsid w:val="002E1988"/>
    <w:rsid w:val="002E261B"/>
    <w:rsid w:val="002E6930"/>
    <w:rsid w:val="002E6D3B"/>
    <w:rsid w:val="002F0440"/>
    <w:rsid w:val="002F06D1"/>
    <w:rsid w:val="002F17D4"/>
    <w:rsid w:val="002F24FC"/>
    <w:rsid w:val="002F36C8"/>
    <w:rsid w:val="002F5747"/>
    <w:rsid w:val="002F5E1C"/>
    <w:rsid w:val="002F79C7"/>
    <w:rsid w:val="00300DBD"/>
    <w:rsid w:val="00304209"/>
    <w:rsid w:val="0030504B"/>
    <w:rsid w:val="0030554E"/>
    <w:rsid w:val="00307284"/>
    <w:rsid w:val="0031025A"/>
    <w:rsid w:val="00311DEC"/>
    <w:rsid w:val="00312122"/>
    <w:rsid w:val="00312301"/>
    <w:rsid w:val="00313230"/>
    <w:rsid w:val="003132A8"/>
    <w:rsid w:val="0031407A"/>
    <w:rsid w:val="003146ED"/>
    <w:rsid w:val="00316FC5"/>
    <w:rsid w:val="00317210"/>
    <w:rsid w:val="00317C16"/>
    <w:rsid w:val="0032079D"/>
    <w:rsid w:val="00320A50"/>
    <w:rsid w:val="003211C0"/>
    <w:rsid w:val="0032271D"/>
    <w:rsid w:val="00322B8C"/>
    <w:rsid w:val="00322CD1"/>
    <w:rsid w:val="00322F9B"/>
    <w:rsid w:val="0032486E"/>
    <w:rsid w:val="003249B7"/>
    <w:rsid w:val="003266A7"/>
    <w:rsid w:val="0032715D"/>
    <w:rsid w:val="00327372"/>
    <w:rsid w:val="00333E10"/>
    <w:rsid w:val="00335A05"/>
    <w:rsid w:val="00337479"/>
    <w:rsid w:val="00337B3B"/>
    <w:rsid w:val="00343966"/>
    <w:rsid w:val="00343CC3"/>
    <w:rsid w:val="00343CE5"/>
    <w:rsid w:val="00343D12"/>
    <w:rsid w:val="003443D5"/>
    <w:rsid w:val="003463C1"/>
    <w:rsid w:val="0034659B"/>
    <w:rsid w:val="0034665B"/>
    <w:rsid w:val="003466D9"/>
    <w:rsid w:val="003476A0"/>
    <w:rsid w:val="0035088D"/>
    <w:rsid w:val="00351F1A"/>
    <w:rsid w:val="00352A3C"/>
    <w:rsid w:val="00353556"/>
    <w:rsid w:val="0035435D"/>
    <w:rsid w:val="00355A73"/>
    <w:rsid w:val="00357097"/>
    <w:rsid w:val="003574B5"/>
    <w:rsid w:val="00361221"/>
    <w:rsid w:val="00361224"/>
    <w:rsid w:val="00363ECB"/>
    <w:rsid w:val="0036405C"/>
    <w:rsid w:val="00365E7C"/>
    <w:rsid w:val="003709D0"/>
    <w:rsid w:val="003728A2"/>
    <w:rsid w:val="0037381E"/>
    <w:rsid w:val="00374481"/>
    <w:rsid w:val="003755D1"/>
    <w:rsid w:val="00376896"/>
    <w:rsid w:val="00376969"/>
    <w:rsid w:val="00376EA0"/>
    <w:rsid w:val="00377A76"/>
    <w:rsid w:val="00380BCD"/>
    <w:rsid w:val="00382126"/>
    <w:rsid w:val="00382E26"/>
    <w:rsid w:val="00383D2F"/>
    <w:rsid w:val="003854EA"/>
    <w:rsid w:val="00385782"/>
    <w:rsid w:val="00386C72"/>
    <w:rsid w:val="003917EA"/>
    <w:rsid w:val="00393164"/>
    <w:rsid w:val="00394E24"/>
    <w:rsid w:val="003972B2"/>
    <w:rsid w:val="00397B2F"/>
    <w:rsid w:val="00397DD8"/>
    <w:rsid w:val="003A0990"/>
    <w:rsid w:val="003A193D"/>
    <w:rsid w:val="003A24B2"/>
    <w:rsid w:val="003A2CD5"/>
    <w:rsid w:val="003A3664"/>
    <w:rsid w:val="003A3DF2"/>
    <w:rsid w:val="003A3F8D"/>
    <w:rsid w:val="003A6B1D"/>
    <w:rsid w:val="003A7F68"/>
    <w:rsid w:val="003B0160"/>
    <w:rsid w:val="003B106E"/>
    <w:rsid w:val="003B27AA"/>
    <w:rsid w:val="003B38AD"/>
    <w:rsid w:val="003B760F"/>
    <w:rsid w:val="003C05D7"/>
    <w:rsid w:val="003C077A"/>
    <w:rsid w:val="003C10DE"/>
    <w:rsid w:val="003C1E57"/>
    <w:rsid w:val="003C2E71"/>
    <w:rsid w:val="003C3DFD"/>
    <w:rsid w:val="003C4D16"/>
    <w:rsid w:val="003C6EE2"/>
    <w:rsid w:val="003C7888"/>
    <w:rsid w:val="003C7A63"/>
    <w:rsid w:val="003D01D4"/>
    <w:rsid w:val="003D361E"/>
    <w:rsid w:val="003D38FB"/>
    <w:rsid w:val="003D7713"/>
    <w:rsid w:val="003E023E"/>
    <w:rsid w:val="003E31E2"/>
    <w:rsid w:val="003E620D"/>
    <w:rsid w:val="003E687E"/>
    <w:rsid w:val="003E6E84"/>
    <w:rsid w:val="003E7282"/>
    <w:rsid w:val="003E7312"/>
    <w:rsid w:val="003E7623"/>
    <w:rsid w:val="003F04C0"/>
    <w:rsid w:val="003F121B"/>
    <w:rsid w:val="003F2CEB"/>
    <w:rsid w:val="003F3F2F"/>
    <w:rsid w:val="003F7643"/>
    <w:rsid w:val="00400234"/>
    <w:rsid w:val="00401A71"/>
    <w:rsid w:val="004051A0"/>
    <w:rsid w:val="004061A9"/>
    <w:rsid w:val="00406B53"/>
    <w:rsid w:val="00407C13"/>
    <w:rsid w:val="0041051F"/>
    <w:rsid w:val="00411233"/>
    <w:rsid w:val="00411B1C"/>
    <w:rsid w:val="004124DA"/>
    <w:rsid w:val="00412EF8"/>
    <w:rsid w:val="0041315B"/>
    <w:rsid w:val="0041374A"/>
    <w:rsid w:val="00413766"/>
    <w:rsid w:val="0041502F"/>
    <w:rsid w:val="00415479"/>
    <w:rsid w:val="00416085"/>
    <w:rsid w:val="004164D6"/>
    <w:rsid w:val="004169D6"/>
    <w:rsid w:val="00416E66"/>
    <w:rsid w:val="004206F6"/>
    <w:rsid w:val="00420DBF"/>
    <w:rsid w:val="004221A2"/>
    <w:rsid w:val="004228F6"/>
    <w:rsid w:val="00422BF4"/>
    <w:rsid w:val="00423243"/>
    <w:rsid w:val="0042383E"/>
    <w:rsid w:val="00423E94"/>
    <w:rsid w:val="00424994"/>
    <w:rsid w:val="004251C9"/>
    <w:rsid w:val="004263F1"/>
    <w:rsid w:val="0042656F"/>
    <w:rsid w:val="0042708A"/>
    <w:rsid w:val="00430461"/>
    <w:rsid w:val="0043265E"/>
    <w:rsid w:val="00434FCD"/>
    <w:rsid w:val="004352A2"/>
    <w:rsid w:val="004375E2"/>
    <w:rsid w:val="0043799A"/>
    <w:rsid w:val="00440358"/>
    <w:rsid w:val="00440560"/>
    <w:rsid w:val="00442146"/>
    <w:rsid w:val="00442F18"/>
    <w:rsid w:val="004432D6"/>
    <w:rsid w:val="00446485"/>
    <w:rsid w:val="00446521"/>
    <w:rsid w:val="004475E8"/>
    <w:rsid w:val="00450091"/>
    <w:rsid w:val="0045046A"/>
    <w:rsid w:val="00450965"/>
    <w:rsid w:val="00450F42"/>
    <w:rsid w:val="00453DC4"/>
    <w:rsid w:val="00453F49"/>
    <w:rsid w:val="00457A65"/>
    <w:rsid w:val="00462AF3"/>
    <w:rsid w:val="004664E6"/>
    <w:rsid w:val="004670D3"/>
    <w:rsid w:val="00467329"/>
    <w:rsid w:val="004705C5"/>
    <w:rsid w:val="004714D2"/>
    <w:rsid w:val="00471952"/>
    <w:rsid w:val="004722BB"/>
    <w:rsid w:val="004729F1"/>
    <w:rsid w:val="00474788"/>
    <w:rsid w:val="00474C43"/>
    <w:rsid w:val="00475D16"/>
    <w:rsid w:val="004813EB"/>
    <w:rsid w:val="00481889"/>
    <w:rsid w:val="00481FA7"/>
    <w:rsid w:val="004835AA"/>
    <w:rsid w:val="004842FB"/>
    <w:rsid w:val="0048514E"/>
    <w:rsid w:val="004906B6"/>
    <w:rsid w:val="00492661"/>
    <w:rsid w:val="00494554"/>
    <w:rsid w:val="00495423"/>
    <w:rsid w:val="00496846"/>
    <w:rsid w:val="00496CEE"/>
    <w:rsid w:val="004970D7"/>
    <w:rsid w:val="00497917"/>
    <w:rsid w:val="004A0805"/>
    <w:rsid w:val="004A2322"/>
    <w:rsid w:val="004A2D77"/>
    <w:rsid w:val="004A2E2A"/>
    <w:rsid w:val="004A324E"/>
    <w:rsid w:val="004A3760"/>
    <w:rsid w:val="004A3836"/>
    <w:rsid w:val="004A4010"/>
    <w:rsid w:val="004A427F"/>
    <w:rsid w:val="004A45FA"/>
    <w:rsid w:val="004A4C26"/>
    <w:rsid w:val="004A4D7F"/>
    <w:rsid w:val="004A56C9"/>
    <w:rsid w:val="004A5A60"/>
    <w:rsid w:val="004A5D82"/>
    <w:rsid w:val="004A7C52"/>
    <w:rsid w:val="004A7D0C"/>
    <w:rsid w:val="004B1027"/>
    <w:rsid w:val="004B123A"/>
    <w:rsid w:val="004B1D7D"/>
    <w:rsid w:val="004B262A"/>
    <w:rsid w:val="004B2D30"/>
    <w:rsid w:val="004B3894"/>
    <w:rsid w:val="004B5054"/>
    <w:rsid w:val="004B5D63"/>
    <w:rsid w:val="004B720F"/>
    <w:rsid w:val="004C10A2"/>
    <w:rsid w:val="004C2329"/>
    <w:rsid w:val="004C535E"/>
    <w:rsid w:val="004C6DB8"/>
    <w:rsid w:val="004C731C"/>
    <w:rsid w:val="004C75A3"/>
    <w:rsid w:val="004D0C20"/>
    <w:rsid w:val="004D1EC4"/>
    <w:rsid w:val="004D28F8"/>
    <w:rsid w:val="004D387B"/>
    <w:rsid w:val="004D5132"/>
    <w:rsid w:val="004D7122"/>
    <w:rsid w:val="004D77BB"/>
    <w:rsid w:val="004D7C20"/>
    <w:rsid w:val="004D7CCB"/>
    <w:rsid w:val="004D7F96"/>
    <w:rsid w:val="004E0027"/>
    <w:rsid w:val="004E0224"/>
    <w:rsid w:val="004E1E57"/>
    <w:rsid w:val="004E24B1"/>
    <w:rsid w:val="004E37EE"/>
    <w:rsid w:val="004E388E"/>
    <w:rsid w:val="004E53EE"/>
    <w:rsid w:val="004E5B37"/>
    <w:rsid w:val="004E5D63"/>
    <w:rsid w:val="004F06AE"/>
    <w:rsid w:val="004F1F1A"/>
    <w:rsid w:val="004F2285"/>
    <w:rsid w:val="004F26F1"/>
    <w:rsid w:val="004F28F4"/>
    <w:rsid w:val="004F2CFB"/>
    <w:rsid w:val="004F7B5E"/>
    <w:rsid w:val="004F7C70"/>
    <w:rsid w:val="0050051C"/>
    <w:rsid w:val="00500DAB"/>
    <w:rsid w:val="0050169F"/>
    <w:rsid w:val="00502709"/>
    <w:rsid w:val="00502F1F"/>
    <w:rsid w:val="005041D1"/>
    <w:rsid w:val="005050C4"/>
    <w:rsid w:val="005063A4"/>
    <w:rsid w:val="005076F6"/>
    <w:rsid w:val="00507C67"/>
    <w:rsid w:val="00510192"/>
    <w:rsid w:val="00510C2C"/>
    <w:rsid w:val="00511D17"/>
    <w:rsid w:val="00512261"/>
    <w:rsid w:val="00512C85"/>
    <w:rsid w:val="00512DFD"/>
    <w:rsid w:val="0051599E"/>
    <w:rsid w:val="0051670A"/>
    <w:rsid w:val="00522AAC"/>
    <w:rsid w:val="00522F43"/>
    <w:rsid w:val="00523AA4"/>
    <w:rsid w:val="00524FAA"/>
    <w:rsid w:val="005271F9"/>
    <w:rsid w:val="00531924"/>
    <w:rsid w:val="005320D5"/>
    <w:rsid w:val="0053404F"/>
    <w:rsid w:val="00535F25"/>
    <w:rsid w:val="005360FE"/>
    <w:rsid w:val="005363ED"/>
    <w:rsid w:val="0053689D"/>
    <w:rsid w:val="00537540"/>
    <w:rsid w:val="005377EE"/>
    <w:rsid w:val="005416A7"/>
    <w:rsid w:val="0054189B"/>
    <w:rsid w:val="005426BD"/>
    <w:rsid w:val="005442A4"/>
    <w:rsid w:val="00544C13"/>
    <w:rsid w:val="00544F28"/>
    <w:rsid w:val="005472C3"/>
    <w:rsid w:val="00547341"/>
    <w:rsid w:val="00547AA7"/>
    <w:rsid w:val="005504EB"/>
    <w:rsid w:val="00555449"/>
    <w:rsid w:val="00557631"/>
    <w:rsid w:val="00557999"/>
    <w:rsid w:val="00557E85"/>
    <w:rsid w:val="00560351"/>
    <w:rsid w:val="005612DA"/>
    <w:rsid w:val="00561FB2"/>
    <w:rsid w:val="005633B7"/>
    <w:rsid w:val="00566377"/>
    <w:rsid w:val="00567CDC"/>
    <w:rsid w:val="00570932"/>
    <w:rsid w:val="0057404E"/>
    <w:rsid w:val="005745A8"/>
    <w:rsid w:val="00574950"/>
    <w:rsid w:val="00574A4C"/>
    <w:rsid w:val="00574B0D"/>
    <w:rsid w:val="00580D5B"/>
    <w:rsid w:val="00582A3E"/>
    <w:rsid w:val="005838D9"/>
    <w:rsid w:val="00584B60"/>
    <w:rsid w:val="005855DA"/>
    <w:rsid w:val="00585AF3"/>
    <w:rsid w:val="005862D1"/>
    <w:rsid w:val="0058646A"/>
    <w:rsid w:val="00587106"/>
    <w:rsid w:val="00591280"/>
    <w:rsid w:val="005936FE"/>
    <w:rsid w:val="005948E1"/>
    <w:rsid w:val="0059597C"/>
    <w:rsid w:val="005968E5"/>
    <w:rsid w:val="005972E2"/>
    <w:rsid w:val="0059759E"/>
    <w:rsid w:val="005A0D42"/>
    <w:rsid w:val="005A1932"/>
    <w:rsid w:val="005A4F0C"/>
    <w:rsid w:val="005A518E"/>
    <w:rsid w:val="005A7252"/>
    <w:rsid w:val="005B1510"/>
    <w:rsid w:val="005B1D98"/>
    <w:rsid w:val="005B6B85"/>
    <w:rsid w:val="005C0CDA"/>
    <w:rsid w:val="005C1250"/>
    <w:rsid w:val="005C148F"/>
    <w:rsid w:val="005C4661"/>
    <w:rsid w:val="005C5C52"/>
    <w:rsid w:val="005C7097"/>
    <w:rsid w:val="005C79E4"/>
    <w:rsid w:val="005D1800"/>
    <w:rsid w:val="005D2E2B"/>
    <w:rsid w:val="005D5333"/>
    <w:rsid w:val="005E1441"/>
    <w:rsid w:val="005E1860"/>
    <w:rsid w:val="005E1F15"/>
    <w:rsid w:val="005E2883"/>
    <w:rsid w:val="005E338A"/>
    <w:rsid w:val="005E47EF"/>
    <w:rsid w:val="005E5642"/>
    <w:rsid w:val="005E5C38"/>
    <w:rsid w:val="005E6094"/>
    <w:rsid w:val="005E6366"/>
    <w:rsid w:val="005F0E84"/>
    <w:rsid w:val="005F217A"/>
    <w:rsid w:val="005F2650"/>
    <w:rsid w:val="005F300E"/>
    <w:rsid w:val="005F36EA"/>
    <w:rsid w:val="005F3AF3"/>
    <w:rsid w:val="005F5401"/>
    <w:rsid w:val="005F5499"/>
    <w:rsid w:val="006027E5"/>
    <w:rsid w:val="00602ED8"/>
    <w:rsid w:val="00603636"/>
    <w:rsid w:val="00603FC8"/>
    <w:rsid w:val="006046F0"/>
    <w:rsid w:val="006050EE"/>
    <w:rsid w:val="0060762B"/>
    <w:rsid w:val="00607F57"/>
    <w:rsid w:val="006122A4"/>
    <w:rsid w:val="006122D1"/>
    <w:rsid w:val="0061404A"/>
    <w:rsid w:val="0061413B"/>
    <w:rsid w:val="00616D55"/>
    <w:rsid w:val="006211E4"/>
    <w:rsid w:val="00622013"/>
    <w:rsid w:val="006240D0"/>
    <w:rsid w:val="0062542D"/>
    <w:rsid w:val="0062707A"/>
    <w:rsid w:val="00627679"/>
    <w:rsid w:val="00627B1C"/>
    <w:rsid w:val="00630345"/>
    <w:rsid w:val="0063034A"/>
    <w:rsid w:val="00630A3A"/>
    <w:rsid w:val="00631400"/>
    <w:rsid w:val="00631600"/>
    <w:rsid w:val="006331A7"/>
    <w:rsid w:val="00633D42"/>
    <w:rsid w:val="006343FF"/>
    <w:rsid w:val="00634F3A"/>
    <w:rsid w:val="006374F9"/>
    <w:rsid w:val="006375A3"/>
    <w:rsid w:val="0064014B"/>
    <w:rsid w:val="006417D3"/>
    <w:rsid w:val="006427E6"/>
    <w:rsid w:val="006442A5"/>
    <w:rsid w:val="00644C22"/>
    <w:rsid w:val="006459A0"/>
    <w:rsid w:val="00646CDC"/>
    <w:rsid w:val="00650029"/>
    <w:rsid w:val="00650341"/>
    <w:rsid w:val="0065083E"/>
    <w:rsid w:val="00651122"/>
    <w:rsid w:val="006527D8"/>
    <w:rsid w:val="006542E2"/>
    <w:rsid w:val="00654555"/>
    <w:rsid w:val="00654CD7"/>
    <w:rsid w:val="00655969"/>
    <w:rsid w:val="00655A1B"/>
    <w:rsid w:val="0065754D"/>
    <w:rsid w:val="00657835"/>
    <w:rsid w:val="00661A1B"/>
    <w:rsid w:val="00662E6C"/>
    <w:rsid w:val="00664F23"/>
    <w:rsid w:val="006652D6"/>
    <w:rsid w:val="0066587C"/>
    <w:rsid w:val="00666A88"/>
    <w:rsid w:val="00672E61"/>
    <w:rsid w:val="00674337"/>
    <w:rsid w:val="006765AB"/>
    <w:rsid w:val="00677454"/>
    <w:rsid w:val="00680A9A"/>
    <w:rsid w:val="00680C92"/>
    <w:rsid w:val="00680DCC"/>
    <w:rsid w:val="00682CE5"/>
    <w:rsid w:val="0068321C"/>
    <w:rsid w:val="006860C6"/>
    <w:rsid w:val="0068618B"/>
    <w:rsid w:val="006900E9"/>
    <w:rsid w:val="006913B3"/>
    <w:rsid w:val="0069189D"/>
    <w:rsid w:val="006919C4"/>
    <w:rsid w:val="00692BAC"/>
    <w:rsid w:val="00695480"/>
    <w:rsid w:val="00696806"/>
    <w:rsid w:val="0069787F"/>
    <w:rsid w:val="006A00C1"/>
    <w:rsid w:val="006A030B"/>
    <w:rsid w:val="006A07BF"/>
    <w:rsid w:val="006A1C27"/>
    <w:rsid w:val="006A1C5E"/>
    <w:rsid w:val="006A3809"/>
    <w:rsid w:val="006A42C1"/>
    <w:rsid w:val="006A4D7D"/>
    <w:rsid w:val="006A5E24"/>
    <w:rsid w:val="006A67C3"/>
    <w:rsid w:val="006A6BCF"/>
    <w:rsid w:val="006A769F"/>
    <w:rsid w:val="006B168A"/>
    <w:rsid w:val="006B1AE5"/>
    <w:rsid w:val="006B282E"/>
    <w:rsid w:val="006B3A89"/>
    <w:rsid w:val="006C1C17"/>
    <w:rsid w:val="006C33E9"/>
    <w:rsid w:val="006C36B9"/>
    <w:rsid w:val="006C3A55"/>
    <w:rsid w:val="006D0150"/>
    <w:rsid w:val="006D17CC"/>
    <w:rsid w:val="006D3282"/>
    <w:rsid w:val="006D5D71"/>
    <w:rsid w:val="006D69E3"/>
    <w:rsid w:val="006D6C0B"/>
    <w:rsid w:val="006D7353"/>
    <w:rsid w:val="006D75A9"/>
    <w:rsid w:val="006D7679"/>
    <w:rsid w:val="006E2780"/>
    <w:rsid w:val="006E288D"/>
    <w:rsid w:val="006E5EBF"/>
    <w:rsid w:val="006E771E"/>
    <w:rsid w:val="006E79BB"/>
    <w:rsid w:val="006F081B"/>
    <w:rsid w:val="006F1DF0"/>
    <w:rsid w:val="006F3562"/>
    <w:rsid w:val="006F42B4"/>
    <w:rsid w:val="006F438F"/>
    <w:rsid w:val="006F56A5"/>
    <w:rsid w:val="006F5D55"/>
    <w:rsid w:val="006F63A8"/>
    <w:rsid w:val="006F6781"/>
    <w:rsid w:val="006F74CE"/>
    <w:rsid w:val="006F7949"/>
    <w:rsid w:val="00700B81"/>
    <w:rsid w:val="00701C5A"/>
    <w:rsid w:val="007020FA"/>
    <w:rsid w:val="007030DA"/>
    <w:rsid w:val="00710B1B"/>
    <w:rsid w:val="00713E51"/>
    <w:rsid w:val="0071404D"/>
    <w:rsid w:val="00714639"/>
    <w:rsid w:val="00717364"/>
    <w:rsid w:val="00723C72"/>
    <w:rsid w:val="00723DF1"/>
    <w:rsid w:val="00724463"/>
    <w:rsid w:val="007258B9"/>
    <w:rsid w:val="007267B5"/>
    <w:rsid w:val="00726B93"/>
    <w:rsid w:val="007305AD"/>
    <w:rsid w:val="007318D1"/>
    <w:rsid w:val="0073210A"/>
    <w:rsid w:val="00734930"/>
    <w:rsid w:val="00735966"/>
    <w:rsid w:val="00736FDD"/>
    <w:rsid w:val="00737523"/>
    <w:rsid w:val="00737787"/>
    <w:rsid w:val="00740F22"/>
    <w:rsid w:val="0074110D"/>
    <w:rsid w:val="0074194C"/>
    <w:rsid w:val="00741C8B"/>
    <w:rsid w:val="00742599"/>
    <w:rsid w:val="00742F86"/>
    <w:rsid w:val="00744DC1"/>
    <w:rsid w:val="007451D6"/>
    <w:rsid w:val="00745B08"/>
    <w:rsid w:val="007474AA"/>
    <w:rsid w:val="00750870"/>
    <w:rsid w:val="007519C0"/>
    <w:rsid w:val="0075255C"/>
    <w:rsid w:val="007549DB"/>
    <w:rsid w:val="0075568B"/>
    <w:rsid w:val="007569A5"/>
    <w:rsid w:val="00757674"/>
    <w:rsid w:val="00761659"/>
    <w:rsid w:val="00762B38"/>
    <w:rsid w:val="00762BF4"/>
    <w:rsid w:val="0076361E"/>
    <w:rsid w:val="007644D6"/>
    <w:rsid w:val="0076538E"/>
    <w:rsid w:val="00766DFA"/>
    <w:rsid w:val="00766FF1"/>
    <w:rsid w:val="0077073D"/>
    <w:rsid w:val="00770E34"/>
    <w:rsid w:val="00772ECE"/>
    <w:rsid w:val="0077358A"/>
    <w:rsid w:val="00775A2A"/>
    <w:rsid w:val="00777630"/>
    <w:rsid w:val="00782D3E"/>
    <w:rsid w:val="00783FE5"/>
    <w:rsid w:val="0078493B"/>
    <w:rsid w:val="00784BD4"/>
    <w:rsid w:val="0078528C"/>
    <w:rsid w:val="00786437"/>
    <w:rsid w:val="00790002"/>
    <w:rsid w:val="007905B3"/>
    <w:rsid w:val="007907DC"/>
    <w:rsid w:val="00791DF8"/>
    <w:rsid w:val="00792639"/>
    <w:rsid w:val="0079356E"/>
    <w:rsid w:val="00793728"/>
    <w:rsid w:val="0079712D"/>
    <w:rsid w:val="007976B6"/>
    <w:rsid w:val="007A053E"/>
    <w:rsid w:val="007A0A3D"/>
    <w:rsid w:val="007A1870"/>
    <w:rsid w:val="007A202F"/>
    <w:rsid w:val="007A4BCC"/>
    <w:rsid w:val="007A6F36"/>
    <w:rsid w:val="007B048F"/>
    <w:rsid w:val="007B05F7"/>
    <w:rsid w:val="007B0A1F"/>
    <w:rsid w:val="007B12F9"/>
    <w:rsid w:val="007B1479"/>
    <w:rsid w:val="007B2463"/>
    <w:rsid w:val="007B33BA"/>
    <w:rsid w:val="007B434F"/>
    <w:rsid w:val="007B43CA"/>
    <w:rsid w:val="007B47E6"/>
    <w:rsid w:val="007B4BD0"/>
    <w:rsid w:val="007B63B2"/>
    <w:rsid w:val="007C06CD"/>
    <w:rsid w:val="007C104C"/>
    <w:rsid w:val="007C22F0"/>
    <w:rsid w:val="007C3517"/>
    <w:rsid w:val="007C3F64"/>
    <w:rsid w:val="007C414C"/>
    <w:rsid w:val="007C4153"/>
    <w:rsid w:val="007C4394"/>
    <w:rsid w:val="007D1630"/>
    <w:rsid w:val="007D1C09"/>
    <w:rsid w:val="007D1DB0"/>
    <w:rsid w:val="007D1E80"/>
    <w:rsid w:val="007D1F54"/>
    <w:rsid w:val="007D4215"/>
    <w:rsid w:val="007D7F5E"/>
    <w:rsid w:val="007E2142"/>
    <w:rsid w:val="007E21D0"/>
    <w:rsid w:val="007E29BC"/>
    <w:rsid w:val="007E368A"/>
    <w:rsid w:val="007E5D2B"/>
    <w:rsid w:val="007E5DAE"/>
    <w:rsid w:val="007E5FE6"/>
    <w:rsid w:val="007E755C"/>
    <w:rsid w:val="007E75E2"/>
    <w:rsid w:val="007E7E50"/>
    <w:rsid w:val="007F0F2A"/>
    <w:rsid w:val="007F16F1"/>
    <w:rsid w:val="007F29F5"/>
    <w:rsid w:val="007F2BCD"/>
    <w:rsid w:val="007F3AF8"/>
    <w:rsid w:val="007F3E3C"/>
    <w:rsid w:val="007F4523"/>
    <w:rsid w:val="00800539"/>
    <w:rsid w:val="008027AE"/>
    <w:rsid w:val="00802B40"/>
    <w:rsid w:val="00804D69"/>
    <w:rsid w:val="008109A0"/>
    <w:rsid w:val="00810DCE"/>
    <w:rsid w:val="0081120E"/>
    <w:rsid w:val="00812163"/>
    <w:rsid w:val="00813174"/>
    <w:rsid w:val="00813B1D"/>
    <w:rsid w:val="00815119"/>
    <w:rsid w:val="00815BD0"/>
    <w:rsid w:val="00817B94"/>
    <w:rsid w:val="00822E87"/>
    <w:rsid w:val="0082370B"/>
    <w:rsid w:val="0082395B"/>
    <w:rsid w:val="00823AFD"/>
    <w:rsid w:val="00823DBE"/>
    <w:rsid w:val="008244E1"/>
    <w:rsid w:val="008251F9"/>
    <w:rsid w:val="00826EE0"/>
    <w:rsid w:val="00826EF4"/>
    <w:rsid w:val="00831572"/>
    <w:rsid w:val="00831D39"/>
    <w:rsid w:val="0083314F"/>
    <w:rsid w:val="00834097"/>
    <w:rsid w:val="00834DC6"/>
    <w:rsid w:val="00835699"/>
    <w:rsid w:val="0083596D"/>
    <w:rsid w:val="008360EF"/>
    <w:rsid w:val="008362C3"/>
    <w:rsid w:val="00836C09"/>
    <w:rsid w:val="008370C3"/>
    <w:rsid w:val="00840F18"/>
    <w:rsid w:val="00841DDD"/>
    <w:rsid w:val="00842324"/>
    <w:rsid w:val="008430E8"/>
    <w:rsid w:val="00843B1C"/>
    <w:rsid w:val="00844676"/>
    <w:rsid w:val="00846D33"/>
    <w:rsid w:val="008471BB"/>
    <w:rsid w:val="00847577"/>
    <w:rsid w:val="00850EE1"/>
    <w:rsid w:val="00851540"/>
    <w:rsid w:val="008519D5"/>
    <w:rsid w:val="0085212F"/>
    <w:rsid w:val="0085224A"/>
    <w:rsid w:val="0085347B"/>
    <w:rsid w:val="00853D93"/>
    <w:rsid w:val="00854C5E"/>
    <w:rsid w:val="00857767"/>
    <w:rsid w:val="00860581"/>
    <w:rsid w:val="00861A3E"/>
    <w:rsid w:val="00861EDB"/>
    <w:rsid w:val="008629B7"/>
    <w:rsid w:val="00862CF8"/>
    <w:rsid w:val="0086357B"/>
    <w:rsid w:val="00865C03"/>
    <w:rsid w:val="008669F0"/>
    <w:rsid w:val="00866F9F"/>
    <w:rsid w:val="00867C1D"/>
    <w:rsid w:val="00870073"/>
    <w:rsid w:val="0087064A"/>
    <w:rsid w:val="0087131C"/>
    <w:rsid w:val="00871B24"/>
    <w:rsid w:val="00872506"/>
    <w:rsid w:val="0087262E"/>
    <w:rsid w:val="00873AB1"/>
    <w:rsid w:val="00876071"/>
    <w:rsid w:val="00880108"/>
    <w:rsid w:val="00881413"/>
    <w:rsid w:val="00881A78"/>
    <w:rsid w:val="0088243B"/>
    <w:rsid w:val="00882451"/>
    <w:rsid w:val="008841EB"/>
    <w:rsid w:val="0088420B"/>
    <w:rsid w:val="00884F94"/>
    <w:rsid w:val="00885A13"/>
    <w:rsid w:val="00887825"/>
    <w:rsid w:val="00887C6A"/>
    <w:rsid w:val="00891337"/>
    <w:rsid w:val="00892206"/>
    <w:rsid w:val="00892412"/>
    <w:rsid w:val="00892697"/>
    <w:rsid w:val="008935B5"/>
    <w:rsid w:val="00894688"/>
    <w:rsid w:val="00894843"/>
    <w:rsid w:val="00894D30"/>
    <w:rsid w:val="008960E0"/>
    <w:rsid w:val="008A1367"/>
    <w:rsid w:val="008A16C4"/>
    <w:rsid w:val="008A36CD"/>
    <w:rsid w:val="008A6475"/>
    <w:rsid w:val="008A64D4"/>
    <w:rsid w:val="008A70DB"/>
    <w:rsid w:val="008A742E"/>
    <w:rsid w:val="008A7759"/>
    <w:rsid w:val="008A7794"/>
    <w:rsid w:val="008B043B"/>
    <w:rsid w:val="008B080D"/>
    <w:rsid w:val="008B139D"/>
    <w:rsid w:val="008B1519"/>
    <w:rsid w:val="008B232D"/>
    <w:rsid w:val="008B3043"/>
    <w:rsid w:val="008B367E"/>
    <w:rsid w:val="008B3E52"/>
    <w:rsid w:val="008B5200"/>
    <w:rsid w:val="008B5341"/>
    <w:rsid w:val="008B5344"/>
    <w:rsid w:val="008B6652"/>
    <w:rsid w:val="008B70EF"/>
    <w:rsid w:val="008B7361"/>
    <w:rsid w:val="008B7FA7"/>
    <w:rsid w:val="008C360B"/>
    <w:rsid w:val="008C444A"/>
    <w:rsid w:val="008C6767"/>
    <w:rsid w:val="008C6AE7"/>
    <w:rsid w:val="008C7C33"/>
    <w:rsid w:val="008C7DE5"/>
    <w:rsid w:val="008D0940"/>
    <w:rsid w:val="008D0FB4"/>
    <w:rsid w:val="008D18AC"/>
    <w:rsid w:val="008D32E9"/>
    <w:rsid w:val="008D5376"/>
    <w:rsid w:val="008D6045"/>
    <w:rsid w:val="008D648C"/>
    <w:rsid w:val="008D6E8F"/>
    <w:rsid w:val="008D740A"/>
    <w:rsid w:val="008D7455"/>
    <w:rsid w:val="008E030A"/>
    <w:rsid w:val="008E264D"/>
    <w:rsid w:val="008E3988"/>
    <w:rsid w:val="008E4264"/>
    <w:rsid w:val="008E4B03"/>
    <w:rsid w:val="008E65EC"/>
    <w:rsid w:val="008F0D32"/>
    <w:rsid w:val="008F2DB4"/>
    <w:rsid w:val="008F4C3D"/>
    <w:rsid w:val="008F5418"/>
    <w:rsid w:val="009022FC"/>
    <w:rsid w:val="00902DD0"/>
    <w:rsid w:val="00902FA6"/>
    <w:rsid w:val="009043D1"/>
    <w:rsid w:val="009066C6"/>
    <w:rsid w:val="009105A5"/>
    <w:rsid w:val="00910C57"/>
    <w:rsid w:val="00911431"/>
    <w:rsid w:val="00911EB3"/>
    <w:rsid w:val="00911F34"/>
    <w:rsid w:val="009125D3"/>
    <w:rsid w:val="00912E4E"/>
    <w:rsid w:val="0091390C"/>
    <w:rsid w:val="00913917"/>
    <w:rsid w:val="00913A94"/>
    <w:rsid w:val="00914C66"/>
    <w:rsid w:val="009154F9"/>
    <w:rsid w:val="00916620"/>
    <w:rsid w:val="00916FC3"/>
    <w:rsid w:val="00917180"/>
    <w:rsid w:val="00917855"/>
    <w:rsid w:val="00917BC5"/>
    <w:rsid w:val="00922151"/>
    <w:rsid w:val="0092337A"/>
    <w:rsid w:val="00924211"/>
    <w:rsid w:val="00924C59"/>
    <w:rsid w:val="0092688E"/>
    <w:rsid w:val="00926B90"/>
    <w:rsid w:val="00933342"/>
    <w:rsid w:val="00933B2A"/>
    <w:rsid w:val="0093523F"/>
    <w:rsid w:val="00935493"/>
    <w:rsid w:val="0093743D"/>
    <w:rsid w:val="00941EA6"/>
    <w:rsid w:val="00944746"/>
    <w:rsid w:val="009461FD"/>
    <w:rsid w:val="0094663E"/>
    <w:rsid w:val="00946BEF"/>
    <w:rsid w:val="00946F27"/>
    <w:rsid w:val="009479F7"/>
    <w:rsid w:val="00950347"/>
    <w:rsid w:val="00950AB3"/>
    <w:rsid w:val="0095174B"/>
    <w:rsid w:val="009518DE"/>
    <w:rsid w:val="00951E51"/>
    <w:rsid w:val="0095211C"/>
    <w:rsid w:val="0095361C"/>
    <w:rsid w:val="0095369D"/>
    <w:rsid w:val="0095699D"/>
    <w:rsid w:val="00956B81"/>
    <w:rsid w:val="00960DA2"/>
    <w:rsid w:val="009613A6"/>
    <w:rsid w:val="009655C8"/>
    <w:rsid w:val="00966858"/>
    <w:rsid w:val="00966F6D"/>
    <w:rsid w:val="00972B5E"/>
    <w:rsid w:val="00972E80"/>
    <w:rsid w:val="00973609"/>
    <w:rsid w:val="00981A04"/>
    <w:rsid w:val="00981E22"/>
    <w:rsid w:val="00982253"/>
    <w:rsid w:val="009830A1"/>
    <w:rsid w:val="00986FA2"/>
    <w:rsid w:val="0098761B"/>
    <w:rsid w:val="00987B88"/>
    <w:rsid w:val="00991135"/>
    <w:rsid w:val="00993583"/>
    <w:rsid w:val="009935D1"/>
    <w:rsid w:val="009940B0"/>
    <w:rsid w:val="009952B9"/>
    <w:rsid w:val="00995480"/>
    <w:rsid w:val="0099647F"/>
    <w:rsid w:val="0099761E"/>
    <w:rsid w:val="009A1057"/>
    <w:rsid w:val="009A13A9"/>
    <w:rsid w:val="009A13C3"/>
    <w:rsid w:val="009A22CC"/>
    <w:rsid w:val="009A3E85"/>
    <w:rsid w:val="009A4401"/>
    <w:rsid w:val="009A4F6F"/>
    <w:rsid w:val="009A60D0"/>
    <w:rsid w:val="009A6BE2"/>
    <w:rsid w:val="009A774C"/>
    <w:rsid w:val="009A7902"/>
    <w:rsid w:val="009B34E4"/>
    <w:rsid w:val="009B4545"/>
    <w:rsid w:val="009B4DB0"/>
    <w:rsid w:val="009C1BC6"/>
    <w:rsid w:val="009C1E1A"/>
    <w:rsid w:val="009C2347"/>
    <w:rsid w:val="009C289E"/>
    <w:rsid w:val="009C3909"/>
    <w:rsid w:val="009C3C23"/>
    <w:rsid w:val="009C494D"/>
    <w:rsid w:val="009C5D87"/>
    <w:rsid w:val="009C6425"/>
    <w:rsid w:val="009D1018"/>
    <w:rsid w:val="009D1B14"/>
    <w:rsid w:val="009D3551"/>
    <w:rsid w:val="009D3FB7"/>
    <w:rsid w:val="009D428C"/>
    <w:rsid w:val="009D5876"/>
    <w:rsid w:val="009D5D64"/>
    <w:rsid w:val="009D633A"/>
    <w:rsid w:val="009D6C99"/>
    <w:rsid w:val="009D7437"/>
    <w:rsid w:val="009D76D7"/>
    <w:rsid w:val="009D77B6"/>
    <w:rsid w:val="009E06C7"/>
    <w:rsid w:val="009E29A6"/>
    <w:rsid w:val="009E38A6"/>
    <w:rsid w:val="009E395C"/>
    <w:rsid w:val="009E44DF"/>
    <w:rsid w:val="009E5A70"/>
    <w:rsid w:val="009E5C6E"/>
    <w:rsid w:val="009E7798"/>
    <w:rsid w:val="009F17D6"/>
    <w:rsid w:val="009F216C"/>
    <w:rsid w:val="009F26F9"/>
    <w:rsid w:val="009F2F8A"/>
    <w:rsid w:val="009F4A58"/>
    <w:rsid w:val="009F520D"/>
    <w:rsid w:val="009F6449"/>
    <w:rsid w:val="009F6989"/>
    <w:rsid w:val="009F6D34"/>
    <w:rsid w:val="00A00020"/>
    <w:rsid w:val="00A00C64"/>
    <w:rsid w:val="00A00DC8"/>
    <w:rsid w:val="00A01E9E"/>
    <w:rsid w:val="00A03D6F"/>
    <w:rsid w:val="00A04FF7"/>
    <w:rsid w:val="00A05522"/>
    <w:rsid w:val="00A07A12"/>
    <w:rsid w:val="00A07C8B"/>
    <w:rsid w:val="00A11DC5"/>
    <w:rsid w:val="00A13796"/>
    <w:rsid w:val="00A1593C"/>
    <w:rsid w:val="00A15B66"/>
    <w:rsid w:val="00A15BB4"/>
    <w:rsid w:val="00A16C20"/>
    <w:rsid w:val="00A16C8A"/>
    <w:rsid w:val="00A17370"/>
    <w:rsid w:val="00A226AA"/>
    <w:rsid w:val="00A250D2"/>
    <w:rsid w:val="00A277EB"/>
    <w:rsid w:val="00A27CAC"/>
    <w:rsid w:val="00A31754"/>
    <w:rsid w:val="00A31E43"/>
    <w:rsid w:val="00A31F5C"/>
    <w:rsid w:val="00A348EF"/>
    <w:rsid w:val="00A350A2"/>
    <w:rsid w:val="00A3615A"/>
    <w:rsid w:val="00A36246"/>
    <w:rsid w:val="00A36AC7"/>
    <w:rsid w:val="00A407BF"/>
    <w:rsid w:val="00A40B89"/>
    <w:rsid w:val="00A418D6"/>
    <w:rsid w:val="00A4351B"/>
    <w:rsid w:val="00A4381C"/>
    <w:rsid w:val="00A43C2C"/>
    <w:rsid w:val="00A442DA"/>
    <w:rsid w:val="00A458C1"/>
    <w:rsid w:val="00A45A04"/>
    <w:rsid w:val="00A471C4"/>
    <w:rsid w:val="00A507A1"/>
    <w:rsid w:val="00A520B2"/>
    <w:rsid w:val="00A52F19"/>
    <w:rsid w:val="00A53C2D"/>
    <w:rsid w:val="00A53C46"/>
    <w:rsid w:val="00A546B6"/>
    <w:rsid w:val="00A54BD7"/>
    <w:rsid w:val="00A55A08"/>
    <w:rsid w:val="00A55D37"/>
    <w:rsid w:val="00A5694C"/>
    <w:rsid w:val="00A56FBA"/>
    <w:rsid w:val="00A603FB"/>
    <w:rsid w:val="00A61054"/>
    <w:rsid w:val="00A610B3"/>
    <w:rsid w:val="00A61189"/>
    <w:rsid w:val="00A6178F"/>
    <w:rsid w:val="00A61A53"/>
    <w:rsid w:val="00A6403A"/>
    <w:rsid w:val="00A66749"/>
    <w:rsid w:val="00A66E5D"/>
    <w:rsid w:val="00A70090"/>
    <w:rsid w:val="00A7149F"/>
    <w:rsid w:val="00A720CC"/>
    <w:rsid w:val="00A72EDF"/>
    <w:rsid w:val="00A7337F"/>
    <w:rsid w:val="00A750E8"/>
    <w:rsid w:val="00A758CA"/>
    <w:rsid w:val="00A76AD7"/>
    <w:rsid w:val="00A76E43"/>
    <w:rsid w:val="00A76ED9"/>
    <w:rsid w:val="00A812C6"/>
    <w:rsid w:val="00A82ECE"/>
    <w:rsid w:val="00A83945"/>
    <w:rsid w:val="00A849C0"/>
    <w:rsid w:val="00A857EF"/>
    <w:rsid w:val="00A86298"/>
    <w:rsid w:val="00A8704B"/>
    <w:rsid w:val="00A901BD"/>
    <w:rsid w:val="00A901FD"/>
    <w:rsid w:val="00A91183"/>
    <w:rsid w:val="00A927D8"/>
    <w:rsid w:val="00A92DCF"/>
    <w:rsid w:val="00A9363C"/>
    <w:rsid w:val="00A94754"/>
    <w:rsid w:val="00A94C37"/>
    <w:rsid w:val="00A94F67"/>
    <w:rsid w:val="00AA0607"/>
    <w:rsid w:val="00AA073C"/>
    <w:rsid w:val="00AA0AD1"/>
    <w:rsid w:val="00AA16D8"/>
    <w:rsid w:val="00AA1FAD"/>
    <w:rsid w:val="00AA2D56"/>
    <w:rsid w:val="00AA3230"/>
    <w:rsid w:val="00AA3A3D"/>
    <w:rsid w:val="00AA3C83"/>
    <w:rsid w:val="00AA493C"/>
    <w:rsid w:val="00AA4B05"/>
    <w:rsid w:val="00AA51F8"/>
    <w:rsid w:val="00AA737D"/>
    <w:rsid w:val="00AB12EA"/>
    <w:rsid w:val="00AB1CBB"/>
    <w:rsid w:val="00AB55D8"/>
    <w:rsid w:val="00AB58CE"/>
    <w:rsid w:val="00AB6101"/>
    <w:rsid w:val="00AB6EB5"/>
    <w:rsid w:val="00AB7D2C"/>
    <w:rsid w:val="00AC0628"/>
    <w:rsid w:val="00AC0A40"/>
    <w:rsid w:val="00AC169D"/>
    <w:rsid w:val="00AC3778"/>
    <w:rsid w:val="00AC4972"/>
    <w:rsid w:val="00AC6B25"/>
    <w:rsid w:val="00AD04F4"/>
    <w:rsid w:val="00AD252C"/>
    <w:rsid w:val="00AD3FD5"/>
    <w:rsid w:val="00AD4F81"/>
    <w:rsid w:val="00AD577C"/>
    <w:rsid w:val="00AE1159"/>
    <w:rsid w:val="00AE1CDC"/>
    <w:rsid w:val="00AE1F1F"/>
    <w:rsid w:val="00AE501C"/>
    <w:rsid w:val="00AE616A"/>
    <w:rsid w:val="00AE78CE"/>
    <w:rsid w:val="00AF06A7"/>
    <w:rsid w:val="00AF0848"/>
    <w:rsid w:val="00AF128F"/>
    <w:rsid w:val="00AF2732"/>
    <w:rsid w:val="00AF2749"/>
    <w:rsid w:val="00AF2991"/>
    <w:rsid w:val="00AF2CAF"/>
    <w:rsid w:val="00AF2E03"/>
    <w:rsid w:val="00AF354B"/>
    <w:rsid w:val="00AF3C33"/>
    <w:rsid w:val="00AF43CD"/>
    <w:rsid w:val="00AF4853"/>
    <w:rsid w:val="00AF4959"/>
    <w:rsid w:val="00AF4BE1"/>
    <w:rsid w:val="00AF5101"/>
    <w:rsid w:val="00AF57B4"/>
    <w:rsid w:val="00AF5E50"/>
    <w:rsid w:val="00AF75B4"/>
    <w:rsid w:val="00B00990"/>
    <w:rsid w:val="00B03DAA"/>
    <w:rsid w:val="00B03F1B"/>
    <w:rsid w:val="00B054C8"/>
    <w:rsid w:val="00B056A9"/>
    <w:rsid w:val="00B075E4"/>
    <w:rsid w:val="00B12073"/>
    <w:rsid w:val="00B127E5"/>
    <w:rsid w:val="00B12984"/>
    <w:rsid w:val="00B12D4E"/>
    <w:rsid w:val="00B142B3"/>
    <w:rsid w:val="00B15171"/>
    <w:rsid w:val="00B15EC1"/>
    <w:rsid w:val="00B17380"/>
    <w:rsid w:val="00B17754"/>
    <w:rsid w:val="00B17B53"/>
    <w:rsid w:val="00B23591"/>
    <w:rsid w:val="00B23A54"/>
    <w:rsid w:val="00B23E34"/>
    <w:rsid w:val="00B23FA2"/>
    <w:rsid w:val="00B240BB"/>
    <w:rsid w:val="00B24DFD"/>
    <w:rsid w:val="00B279E0"/>
    <w:rsid w:val="00B31DB5"/>
    <w:rsid w:val="00B31DF7"/>
    <w:rsid w:val="00B31ED1"/>
    <w:rsid w:val="00B31F2C"/>
    <w:rsid w:val="00B3365D"/>
    <w:rsid w:val="00B349EA"/>
    <w:rsid w:val="00B34CC5"/>
    <w:rsid w:val="00B35609"/>
    <w:rsid w:val="00B400AC"/>
    <w:rsid w:val="00B4074A"/>
    <w:rsid w:val="00B416E9"/>
    <w:rsid w:val="00B41D19"/>
    <w:rsid w:val="00B424FA"/>
    <w:rsid w:val="00B4456F"/>
    <w:rsid w:val="00B44770"/>
    <w:rsid w:val="00B505FA"/>
    <w:rsid w:val="00B50A12"/>
    <w:rsid w:val="00B51122"/>
    <w:rsid w:val="00B51BFD"/>
    <w:rsid w:val="00B52888"/>
    <w:rsid w:val="00B53165"/>
    <w:rsid w:val="00B53886"/>
    <w:rsid w:val="00B53E87"/>
    <w:rsid w:val="00B54B32"/>
    <w:rsid w:val="00B61201"/>
    <w:rsid w:val="00B61B1A"/>
    <w:rsid w:val="00B61C61"/>
    <w:rsid w:val="00B6233E"/>
    <w:rsid w:val="00B62B33"/>
    <w:rsid w:val="00B62B44"/>
    <w:rsid w:val="00B62D94"/>
    <w:rsid w:val="00B63511"/>
    <w:rsid w:val="00B63F58"/>
    <w:rsid w:val="00B63FC0"/>
    <w:rsid w:val="00B6500F"/>
    <w:rsid w:val="00B67A3C"/>
    <w:rsid w:val="00B70088"/>
    <w:rsid w:val="00B70CE4"/>
    <w:rsid w:val="00B73C85"/>
    <w:rsid w:val="00B74473"/>
    <w:rsid w:val="00B74494"/>
    <w:rsid w:val="00B75A46"/>
    <w:rsid w:val="00B76127"/>
    <w:rsid w:val="00B76335"/>
    <w:rsid w:val="00B77C78"/>
    <w:rsid w:val="00B802C9"/>
    <w:rsid w:val="00B80A9D"/>
    <w:rsid w:val="00B830EE"/>
    <w:rsid w:val="00B83346"/>
    <w:rsid w:val="00B84646"/>
    <w:rsid w:val="00B84967"/>
    <w:rsid w:val="00B91720"/>
    <w:rsid w:val="00B92DEB"/>
    <w:rsid w:val="00B93070"/>
    <w:rsid w:val="00B93EEF"/>
    <w:rsid w:val="00B94172"/>
    <w:rsid w:val="00B95026"/>
    <w:rsid w:val="00B96C8E"/>
    <w:rsid w:val="00B97533"/>
    <w:rsid w:val="00B97AF5"/>
    <w:rsid w:val="00BA1332"/>
    <w:rsid w:val="00BA17EC"/>
    <w:rsid w:val="00BA1B5A"/>
    <w:rsid w:val="00BA32F1"/>
    <w:rsid w:val="00BA3786"/>
    <w:rsid w:val="00BA3C34"/>
    <w:rsid w:val="00BA47A4"/>
    <w:rsid w:val="00BA48BF"/>
    <w:rsid w:val="00BA50F7"/>
    <w:rsid w:val="00BA5305"/>
    <w:rsid w:val="00BA6AF4"/>
    <w:rsid w:val="00BA740E"/>
    <w:rsid w:val="00BA74F3"/>
    <w:rsid w:val="00BA7747"/>
    <w:rsid w:val="00BA7FCA"/>
    <w:rsid w:val="00BB07BC"/>
    <w:rsid w:val="00BB140F"/>
    <w:rsid w:val="00BB463B"/>
    <w:rsid w:val="00BB67F1"/>
    <w:rsid w:val="00BC2BF4"/>
    <w:rsid w:val="00BC2FB3"/>
    <w:rsid w:val="00BC31E8"/>
    <w:rsid w:val="00BC4633"/>
    <w:rsid w:val="00BC527C"/>
    <w:rsid w:val="00BC533A"/>
    <w:rsid w:val="00BC55C0"/>
    <w:rsid w:val="00BC572A"/>
    <w:rsid w:val="00BD290F"/>
    <w:rsid w:val="00BD425E"/>
    <w:rsid w:val="00BD44E9"/>
    <w:rsid w:val="00BD5B8E"/>
    <w:rsid w:val="00BD6578"/>
    <w:rsid w:val="00BD7ABA"/>
    <w:rsid w:val="00BD7BFF"/>
    <w:rsid w:val="00BE0169"/>
    <w:rsid w:val="00BE0AB4"/>
    <w:rsid w:val="00BE1327"/>
    <w:rsid w:val="00BE13CB"/>
    <w:rsid w:val="00BE1C99"/>
    <w:rsid w:val="00BE1CED"/>
    <w:rsid w:val="00BE517A"/>
    <w:rsid w:val="00BE5682"/>
    <w:rsid w:val="00BE6BDD"/>
    <w:rsid w:val="00BE6F0A"/>
    <w:rsid w:val="00BE70F8"/>
    <w:rsid w:val="00BE75EB"/>
    <w:rsid w:val="00BF19A3"/>
    <w:rsid w:val="00BF2752"/>
    <w:rsid w:val="00BF3DF2"/>
    <w:rsid w:val="00BF4845"/>
    <w:rsid w:val="00BF4A6E"/>
    <w:rsid w:val="00BF560D"/>
    <w:rsid w:val="00BF6C8D"/>
    <w:rsid w:val="00BF7EF1"/>
    <w:rsid w:val="00C02365"/>
    <w:rsid w:val="00C0277D"/>
    <w:rsid w:val="00C03E39"/>
    <w:rsid w:val="00C04447"/>
    <w:rsid w:val="00C06D77"/>
    <w:rsid w:val="00C07491"/>
    <w:rsid w:val="00C07AED"/>
    <w:rsid w:val="00C110B6"/>
    <w:rsid w:val="00C1112F"/>
    <w:rsid w:val="00C11707"/>
    <w:rsid w:val="00C12671"/>
    <w:rsid w:val="00C13706"/>
    <w:rsid w:val="00C158EE"/>
    <w:rsid w:val="00C2034E"/>
    <w:rsid w:val="00C21588"/>
    <w:rsid w:val="00C23268"/>
    <w:rsid w:val="00C2414D"/>
    <w:rsid w:val="00C26691"/>
    <w:rsid w:val="00C26DC3"/>
    <w:rsid w:val="00C26DD4"/>
    <w:rsid w:val="00C275C0"/>
    <w:rsid w:val="00C31AAE"/>
    <w:rsid w:val="00C3206C"/>
    <w:rsid w:val="00C32F11"/>
    <w:rsid w:val="00C34422"/>
    <w:rsid w:val="00C36700"/>
    <w:rsid w:val="00C406BA"/>
    <w:rsid w:val="00C40899"/>
    <w:rsid w:val="00C40FCE"/>
    <w:rsid w:val="00C421D9"/>
    <w:rsid w:val="00C426DF"/>
    <w:rsid w:val="00C431E9"/>
    <w:rsid w:val="00C434F8"/>
    <w:rsid w:val="00C43983"/>
    <w:rsid w:val="00C43B4D"/>
    <w:rsid w:val="00C44CD8"/>
    <w:rsid w:val="00C44EB1"/>
    <w:rsid w:val="00C479C4"/>
    <w:rsid w:val="00C51EE3"/>
    <w:rsid w:val="00C52717"/>
    <w:rsid w:val="00C53D8E"/>
    <w:rsid w:val="00C5482E"/>
    <w:rsid w:val="00C54D28"/>
    <w:rsid w:val="00C550BC"/>
    <w:rsid w:val="00C5520A"/>
    <w:rsid w:val="00C579AE"/>
    <w:rsid w:val="00C6029F"/>
    <w:rsid w:val="00C608F1"/>
    <w:rsid w:val="00C61A02"/>
    <w:rsid w:val="00C620AB"/>
    <w:rsid w:val="00C62EF6"/>
    <w:rsid w:val="00C6359D"/>
    <w:rsid w:val="00C63C97"/>
    <w:rsid w:val="00C65394"/>
    <w:rsid w:val="00C65C0E"/>
    <w:rsid w:val="00C65FA0"/>
    <w:rsid w:val="00C70BA0"/>
    <w:rsid w:val="00C70E8C"/>
    <w:rsid w:val="00C72A10"/>
    <w:rsid w:val="00C72A4F"/>
    <w:rsid w:val="00C73A73"/>
    <w:rsid w:val="00C75048"/>
    <w:rsid w:val="00C75438"/>
    <w:rsid w:val="00C76C47"/>
    <w:rsid w:val="00C7750A"/>
    <w:rsid w:val="00C77581"/>
    <w:rsid w:val="00C80058"/>
    <w:rsid w:val="00C813E3"/>
    <w:rsid w:val="00C8487F"/>
    <w:rsid w:val="00C8519B"/>
    <w:rsid w:val="00C85C00"/>
    <w:rsid w:val="00C85F42"/>
    <w:rsid w:val="00C87DB9"/>
    <w:rsid w:val="00C9120C"/>
    <w:rsid w:val="00C917CD"/>
    <w:rsid w:val="00C92BAD"/>
    <w:rsid w:val="00C939D5"/>
    <w:rsid w:val="00C93AA8"/>
    <w:rsid w:val="00C947BD"/>
    <w:rsid w:val="00C951BC"/>
    <w:rsid w:val="00C95D08"/>
    <w:rsid w:val="00C95EFA"/>
    <w:rsid w:val="00CA09D4"/>
    <w:rsid w:val="00CA2F84"/>
    <w:rsid w:val="00CA357C"/>
    <w:rsid w:val="00CA3CDC"/>
    <w:rsid w:val="00CA3F49"/>
    <w:rsid w:val="00CA4940"/>
    <w:rsid w:val="00CA7202"/>
    <w:rsid w:val="00CB04D8"/>
    <w:rsid w:val="00CB120E"/>
    <w:rsid w:val="00CB2124"/>
    <w:rsid w:val="00CB2B95"/>
    <w:rsid w:val="00CB5C25"/>
    <w:rsid w:val="00CB69DD"/>
    <w:rsid w:val="00CB7506"/>
    <w:rsid w:val="00CB7C88"/>
    <w:rsid w:val="00CC0C25"/>
    <w:rsid w:val="00CC1CCF"/>
    <w:rsid w:val="00CC2911"/>
    <w:rsid w:val="00CC2E5F"/>
    <w:rsid w:val="00CC373D"/>
    <w:rsid w:val="00CC3FD3"/>
    <w:rsid w:val="00CC4341"/>
    <w:rsid w:val="00CC498D"/>
    <w:rsid w:val="00CC4E8D"/>
    <w:rsid w:val="00CC530B"/>
    <w:rsid w:val="00CC6DA6"/>
    <w:rsid w:val="00CD0013"/>
    <w:rsid w:val="00CD0A49"/>
    <w:rsid w:val="00CD2DD7"/>
    <w:rsid w:val="00CD42DC"/>
    <w:rsid w:val="00CD555F"/>
    <w:rsid w:val="00CD70B0"/>
    <w:rsid w:val="00CE08DD"/>
    <w:rsid w:val="00CE15E9"/>
    <w:rsid w:val="00CE178D"/>
    <w:rsid w:val="00CE3D70"/>
    <w:rsid w:val="00CE49A9"/>
    <w:rsid w:val="00CE515D"/>
    <w:rsid w:val="00CE6B7A"/>
    <w:rsid w:val="00CE6DCE"/>
    <w:rsid w:val="00CE7A2C"/>
    <w:rsid w:val="00CF1259"/>
    <w:rsid w:val="00CF340C"/>
    <w:rsid w:val="00CF35A4"/>
    <w:rsid w:val="00CF42FD"/>
    <w:rsid w:val="00CF5273"/>
    <w:rsid w:val="00CF5503"/>
    <w:rsid w:val="00CF584C"/>
    <w:rsid w:val="00CF6271"/>
    <w:rsid w:val="00CF6962"/>
    <w:rsid w:val="00CF7832"/>
    <w:rsid w:val="00D0200E"/>
    <w:rsid w:val="00D02CD3"/>
    <w:rsid w:val="00D068AF"/>
    <w:rsid w:val="00D06F04"/>
    <w:rsid w:val="00D070C3"/>
    <w:rsid w:val="00D070E3"/>
    <w:rsid w:val="00D1290A"/>
    <w:rsid w:val="00D137F5"/>
    <w:rsid w:val="00D14351"/>
    <w:rsid w:val="00D14362"/>
    <w:rsid w:val="00D147C8"/>
    <w:rsid w:val="00D26C19"/>
    <w:rsid w:val="00D302C3"/>
    <w:rsid w:val="00D30E4B"/>
    <w:rsid w:val="00D31C81"/>
    <w:rsid w:val="00D33055"/>
    <w:rsid w:val="00D3443F"/>
    <w:rsid w:val="00D34EAD"/>
    <w:rsid w:val="00D34F4B"/>
    <w:rsid w:val="00D359D9"/>
    <w:rsid w:val="00D35F18"/>
    <w:rsid w:val="00D3666A"/>
    <w:rsid w:val="00D36856"/>
    <w:rsid w:val="00D36923"/>
    <w:rsid w:val="00D37F15"/>
    <w:rsid w:val="00D41230"/>
    <w:rsid w:val="00D421AA"/>
    <w:rsid w:val="00D4408A"/>
    <w:rsid w:val="00D44458"/>
    <w:rsid w:val="00D45B22"/>
    <w:rsid w:val="00D45BFC"/>
    <w:rsid w:val="00D46211"/>
    <w:rsid w:val="00D50819"/>
    <w:rsid w:val="00D509FD"/>
    <w:rsid w:val="00D52774"/>
    <w:rsid w:val="00D536C0"/>
    <w:rsid w:val="00D551D2"/>
    <w:rsid w:val="00D553D4"/>
    <w:rsid w:val="00D56011"/>
    <w:rsid w:val="00D56129"/>
    <w:rsid w:val="00D5714C"/>
    <w:rsid w:val="00D579B4"/>
    <w:rsid w:val="00D60B75"/>
    <w:rsid w:val="00D613C1"/>
    <w:rsid w:val="00D6234B"/>
    <w:rsid w:val="00D640DD"/>
    <w:rsid w:val="00D64D64"/>
    <w:rsid w:val="00D64DC0"/>
    <w:rsid w:val="00D64E0F"/>
    <w:rsid w:val="00D64F62"/>
    <w:rsid w:val="00D650B1"/>
    <w:rsid w:val="00D65CED"/>
    <w:rsid w:val="00D66394"/>
    <w:rsid w:val="00D66F59"/>
    <w:rsid w:val="00D7193B"/>
    <w:rsid w:val="00D73B18"/>
    <w:rsid w:val="00D74E21"/>
    <w:rsid w:val="00D75B5D"/>
    <w:rsid w:val="00D767FB"/>
    <w:rsid w:val="00D802C1"/>
    <w:rsid w:val="00D8348C"/>
    <w:rsid w:val="00D83CDA"/>
    <w:rsid w:val="00D840F7"/>
    <w:rsid w:val="00D84ADE"/>
    <w:rsid w:val="00D856C4"/>
    <w:rsid w:val="00D85B7C"/>
    <w:rsid w:val="00D86C67"/>
    <w:rsid w:val="00D86DDC"/>
    <w:rsid w:val="00D878C5"/>
    <w:rsid w:val="00D922D2"/>
    <w:rsid w:val="00D93A76"/>
    <w:rsid w:val="00D945CC"/>
    <w:rsid w:val="00D9463B"/>
    <w:rsid w:val="00D96B29"/>
    <w:rsid w:val="00D96D65"/>
    <w:rsid w:val="00D97D90"/>
    <w:rsid w:val="00DA0467"/>
    <w:rsid w:val="00DA1DF0"/>
    <w:rsid w:val="00DA25DE"/>
    <w:rsid w:val="00DA38E9"/>
    <w:rsid w:val="00DA4C25"/>
    <w:rsid w:val="00DA505B"/>
    <w:rsid w:val="00DA5240"/>
    <w:rsid w:val="00DA6FEB"/>
    <w:rsid w:val="00DB0467"/>
    <w:rsid w:val="00DB137C"/>
    <w:rsid w:val="00DB17EF"/>
    <w:rsid w:val="00DB1B79"/>
    <w:rsid w:val="00DB1D1C"/>
    <w:rsid w:val="00DB4B87"/>
    <w:rsid w:val="00DB510C"/>
    <w:rsid w:val="00DB602E"/>
    <w:rsid w:val="00DB61AC"/>
    <w:rsid w:val="00DB73D7"/>
    <w:rsid w:val="00DB759E"/>
    <w:rsid w:val="00DC095A"/>
    <w:rsid w:val="00DC1296"/>
    <w:rsid w:val="00DC1E3B"/>
    <w:rsid w:val="00DC3117"/>
    <w:rsid w:val="00DC34C8"/>
    <w:rsid w:val="00DC352F"/>
    <w:rsid w:val="00DC3880"/>
    <w:rsid w:val="00DC42E2"/>
    <w:rsid w:val="00DC4470"/>
    <w:rsid w:val="00DC483A"/>
    <w:rsid w:val="00DC4F00"/>
    <w:rsid w:val="00DC5EEF"/>
    <w:rsid w:val="00DC71F7"/>
    <w:rsid w:val="00DC7AE7"/>
    <w:rsid w:val="00DD02CB"/>
    <w:rsid w:val="00DD0337"/>
    <w:rsid w:val="00DD0AD0"/>
    <w:rsid w:val="00DD0BAB"/>
    <w:rsid w:val="00DD1350"/>
    <w:rsid w:val="00DD414C"/>
    <w:rsid w:val="00DE0299"/>
    <w:rsid w:val="00DE0933"/>
    <w:rsid w:val="00DE0BB3"/>
    <w:rsid w:val="00DE2133"/>
    <w:rsid w:val="00DE37C1"/>
    <w:rsid w:val="00DE39A4"/>
    <w:rsid w:val="00DE3D29"/>
    <w:rsid w:val="00DE5202"/>
    <w:rsid w:val="00DE532C"/>
    <w:rsid w:val="00DE69FB"/>
    <w:rsid w:val="00DF0CF5"/>
    <w:rsid w:val="00DF12AA"/>
    <w:rsid w:val="00DF3036"/>
    <w:rsid w:val="00DF315A"/>
    <w:rsid w:val="00DF4801"/>
    <w:rsid w:val="00E003CF"/>
    <w:rsid w:val="00E01118"/>
    <w:rsid w:val="00E032A4"/>
    <w:rsid w:val="00E03F60"/>
    <w:rsid w:val="00E04F5A"/>
    <w:rsid w:val="00E10DA3"/>
    <w:rsid w:val="00E11BDB"/>
    <w:rsid w:val="00E127BA"/>
    <w:rsid w:val="00E12DFC"/>
    <w:rsid w:val="00E13085"/>
    <w:rsid w:val="00E131B0"/>
    <w:rsid w:val="00E131B2"/>
    <w:rsid w:val="00E13EFE"/>
    <w:rsid w:val="00E152D2"/>
    <w:rsid w:val="00E1584F"/>
    <w:rsid w:val="00E16750"/>
    <w:rsid w:val="00E2051F"/>
    <w:rsid w:val="00E230B5"/>
    <w:rsid w:val="00E252B9"/>
    <w:rsid w:val="00E25E4A"/>
    <w:rsid w:val="00E25EC7"/>
    <w:rsid w:val="00E276C3"/>
    <w:rsid w:val="00E27A83"/>
    <w:rsid w:val="00E31D1E"/>
    <w:rsid w:val="00E32CB1"/>
    <w:rsid w:val="00E338E2"/>
    <w:rsid w:val="00E33A4C"/>
    <w:rsid w:val="00E345D2"/>
    <w:rsid w:val="00E3588C"/>
    <w:rsid w:val="00E406EC"/>
    <w:rsid w:val="00E41367"/>
    <w:rsid w:val="00E43D0D"/>
    <w:rsid w:val="00E441AD"/>
    <w:rsid w:val="00E44ACE"/>
    <w:rsid w:val="00E45044"/>
    <w:rsid w:val="00E46F63"/>
    <w:rsid w:val="00E472BE"/>
    <w:rsid w:val="00E47872"/>
    <w:rsid w:val="00E47E5B"/>
    <w:rsid w:val="00E5003A"/>
    <w:rsid w:val="00E5044E"/>
    <w:rsid w:val="00E51EBF"/>
    <w:rsid w:val="00E5397B"/>
    <w:rsid w:val="00E5484D"/>
    <w:rsid w:val="00E5512A"/>
    <w:rsid w:val="00E55AE8"/>
    <w:rsid w:val="00E572E2"/>
    <w:rsid w:val="00E57F04"/>
    <w:rsid w:val="00E603EC"/>
    <w:rsid w:val="00E60D98"/>
    <w:rsid w:val="00E6196D"/>
    <w:rsid w:val="00E61FD1"/>
    <w:rsid w:val="00E639CF"/>
    <w:rsid w:val="00E63C1E"/>
    <w:rsid w:val="00E67105"/>
    <w:rsid w:val="00E72460"/>
    <w:rsid w:val="00E72969"/>
    <w:rsid w:val="00E74125"/>
    <w:rsid w:val="00E744CC"/>
    <w:rsid w:val="00E77749"/>
    <w:rsid w:val="00E80356"/>
    <w:rsid w:val="00E820C8"/>
    <w:rsid w:val="00E838EE"/>
    <w:rsid w:val="00E84D66"/>
    <w:rsid w:val="00E85A79"/>
    <w:rsid w:val="00E8626D"/>
    <w:rsid w:val="00E863E1"/>
    <w:rsid w:val="00E86D4B"/>
    <w:rsid w:val="00E875A2"/>
    <w:rsid w:val="00E8797F"/>
    <w:rsid w:val="00E87BA8"/>
    <w:rsid w:val="00E91659"/>
    <w:rsid w:val="00E91A8D"/>
    <w:rsid w:val="00E9467D"/>
    <w:rsid w:val="00E94A4F"/>
    <w:rsid w:val="00E94BA1"/>
    <w:rsid w:val="00E96207"/>
    <w:rsid w:val="00E9632E"/>
    <w:rsid w:val="00E9683C"/>
    <w:rsid w:val="00E97007"/>
    <w:rsid w:val="00EA0F04"/>
    <w:rsid w:val="00EA1FDD"/>
    <w:rsid w:val="00EA44BF"/>
    <w:rsid w:val="00EA7344"/>
    <w:rsid w:val="00EA757F"/>
    <w:rsid w:val="00EA7D43"/>
    <w:rsid w:val="00EB02D7"/>
    <w:rsid w:val="00EB0822"/>
    <w:rsid w:val="00EB0A3D"/>
    <w:rsid w:val="00EB1400"/>
    <w:rsid w:val="00EB15BA"/>
    <w:rsid w:val="00EB379B"/>
    <w:rsid w:val="00EB3B10"/>
    <w:rsid w:val="00EB49FE"/>
    <w:rsid w:val="00EB6139"/>
    <w:rsid w:val="00EB7464"/>
    <w:rsid w:val="00EB77B9"/>
    <w:rsid w:val="00EC0DE9"/>
    <w:rsid w:val="00EC1169"/>
    <w:rsid w:val="00EC120C"/>
    <w:rsid w:val="00EC17AE"/>
    <w:rsid w:val="00EC1B41"/>
    <w:rsid w:val="00EC5D42"/>
    <w:rsid w:val="00ED2028"/>
    <w:rsid w:val="00ED2184"/>
    <w:rsid w:val="00ED25DE"/>
    <w:rsid w:val="00ED5469"/>
    <w:rsid w:val="00ED5700"/>
    <w:rsid w:val="00EE0689"/>
    <w:rsid w:val="00EE06C9"/>
    <w:rsid w:val="00EE07F2"/>
    <w:rsid w:val="00EE187A"/>
    <w:rsid w:val="00EE1B64"/>
    <w:rsid w:val="00EE2625"/>
    <w:rsid w:val="00EE29EF"/>
    <w:rsid w:val="00EE2B43"/>
    <w:rsid w:val="00EE3A9C"/>
    <w:rsid w:val="00EE3BC7"/>
    <w:rsid w:val="00EE52FE"/>
    <w:rsid w:val="00EE5334"/>
    <w:rsid w:val="00EE7EC6"/>
    <w:rsid w:val="00EF217B"/>
    <w:rsid w:val="00EF2FF9"/>
    <w:rsid w:val="00EF349A"/>
    <w:rsid w:val="00EF3EF8"/>
    <w:rsid w:val="00EF4686"/>
    <w:rsid w:val="00EF5626"/>
    <w:rsid w:val="00EF5D1D"/>
    <w:rsid w:val="00EF6A31"/>
    <w:rsid w:val="00EF7091"/>
    <w:rsid w:val="00EF71FD"/>
    <w:rsid w:val="00EF7F0F"/>
    <w:rsid w:val="00F00761"/>
    <w:rsid w:val="00F00A53"/>
    <w:rsid w:val="00F01C14"/>
    <w:rsid w:val="00F02F78"/>
    <w:rsid w:val="00F03873"/>
    <w:rsid w:val="00F03C4D"/>
    <w:rsid w:val="00F05470"/>
    <w:rsid w:val="00F11D39"/>
    <w:rsid w:val="00F125AF"/>
    <w:rsid w:val="00F12C6B"/>
    <w:rsid w:val="00F12F22"/>
    <w:rsid w:val="00F1328E"/>
    <w:rsid w:val="00F15058"/>
    <w:rsid w:val="00F1545F"/>
    <w:rsid w:val="00F15E6A"/>
    <w:rsid w:val="00F15FB1"/>
    <w:rsid w:val="00F171C3"/>
    <w:rsid w:val="00F172E3"/>
    <w:rsid w:val="00F203F7"/>
    <w:rsid w:val="00F22000"/>
    <w:rsid w:val="00F23645"/>
    <w:rsid w:val="00F23877"/>
    <w:rsid w:val="00F24C8F"/>
    <w:rsid w:val="00F27131"/>
    <w:rsid w:val="00F31151"/>
    <w:rsid w:val="00F3151E"/>
    <w:rsid w:val="00F32AAB"/>
    <w:rsid w:val="00F3351C"/>
    <w:rsid w:val="00F33541"/>
    <w:rsid w:val="00F34A95"/>
    <w:rsid w:val="00F34C80"/>
    <w:rsid w:val="00F352C8"/>
    <w:rsid w:val="00F36147"/>
    <w:rsid w:val="00F3664F"/>
    <w:rsid w:val="00F366DD"/>
    <w:rsid w:val="00F37420"/>
    <w:rsid w:val="00F37D47"/>
    <w:rsid w:val="00F4045B"/>
    <w:rsid w:val="00F40AD5"/>
    <w:rsid w:val="00F4344E"/>
    <w:rsid w:val="00F43621"/>
    <w:rsid w:val="00F4394A"/>
    <w:rsid w:val="00F4433C"/>
    <w:rsid w:val="00F45E44"/>
    <w:rsid w:val="00F46999"/>
    <w:rsid w:val="00F477BA"/>
    <w:rsid w:val="00F50ECD"/>
    <w:rsid w:val="00F51031"/>
    <w:rsid w:val="00F51DDC"/>
    <w:rsid w:val="00F5669E"/>
    <w:rsid w:val="00F56F2C"/>
    <w:rsid w:val="00F6075B"/>
    <w:rsid w:val="00F64ACB"/>
    <w:rsid w:val="00F6576C"/>
    <w:rsid w:val="00F65AFC"/>
    <w:rsid w:val="00F70510"/>
    <w:rsid w:val="00F71A29"/>
    <w:rsid w:val="00F735D4"/>
    <w:rsid w:val="00F7385B"/>
    <w:rsid w:val="00F74CD5"/>
    <w:rsid w:val="00F752CE"/>
    <w:rsid w:val="00F754C0"/>
    <w:rsid w:val="00F75715"/>
    <w:rsid w:val="00F75F6C"/>
    <w:rsid w:val="00F76089"/>
    <w:rsid w:val="00F76DCD"/>
    <w:rsid w:val="00F7799A"/>
    <w:rsid w:val="00F80CB1"/>
    <w:rsid w:val="00F81E15"/>
    <w:rsid w:val="00F82794"/>
    <w:rsid w:val="00F8293C"/>
    <w:rsid w:val="00F83790"/>
    <w:rsid w:val="00F83B6F"/>
    <w:rsid w:val="00F843C7"/>
    <w:rsid w:val="00F84B56"/>
    <w:rsid w:val="00F84C3B"/>
    <w:rsid w:val="00F85C82"/>
    <w:rsid w:val="00F86976"/>
    <w:rsid w:val="00F912EB"/>
    <w:rsid w:val="00F925D7"/>
    <w:rsid w:val="00F92604"/>
    <w:rsid w:val="00F92767"/>
    <w:rsid w:val="00F92847"/>
    <w:rsid w:val="00F932D4"/>
    <w:rsid w:val="00F94EAF"/>
    <w:rsid w:val="00F955ED"/>
    <w:rsid w:val="00F965E3"/>
    <w:rsid w:val="00F97077"/>
    <w:rsid w:val="00F97489"/>
    <w:rsid w:val="00FA00E1"/>
    <w:rsid w:val="00FA01D2"/>
    <w:rsid w:val="00FA03B2"/>
    <w:rsid w:val="00FA06F1"/>
    <w:rsid w:val="00FA0CDC"/>
    <w:rsid w:val="00FA0FDF"/>
    <w:rsid w:val="00FA3964"/>
    <w:rsid w:val="00FA3F3A"/>
    <w:rsid w:val="00FA54C8"/>
    <w:rsid w:val="00FA6B8D"/>
    <w:rsid w:val="00FA6E24"/>
    <w:rsid w:val="00FA79DF"/>
    <w:rsid w:val="00FB0CE3"/>
    <w:rsid w:val="00FB1B44"/>
    <w:rsid w:val="00FB2415"/>
    <w:rsid w:val="00FB3598"/>
    <w:rsid w:val="00FB35FD"/>
    <w:rsid w:val="00FB415C"/>
    <w:rsid w:val="00FB625D"/>
    <w:rsid w:val="00FB6C44"/>
    <w:rsid w:val="00FC28FA"/>
    <w:rsid w:val="00FC4E15"/>
    <w:rsid w:val="00FD0964"/>
    <w:rsid w:val="00FD19DE"/>
    <w:rsid w:val="00FD2E24"/>
    <w:rsid w:val="00FD3E5D"/>
    <w:rsid w:val="00FD4774"/>
    <w:rsid w:val="00FD54D1"/>
    <w:rsid w:val="00FD6695"/>
    <w:rsid w:val="00FD6A08"/>
    <w:rsid w:val="00FD6DEC"/>
    <w:rsid w:val="00FD70F6"/>
    <w:rsid w:val="00FE0E86"/>
    <w:rsid w:val="00FE12D2"/>
    <w:rsid w:val="00FE1FDB"/>
    <w:rsid w:val="00FE27FD"/>
    <w:rsid w:val="00FE3698"/>
    <w:rsid w:val="00FE373C"/>
    <w:rsid w:val="00FE3A32"/>
    <w:rsid w:val="00FE4314"/>
    <w:rsid w:val="00FE4884"/>
    <w:rsid w:val="00FE7923"/>
    <w:rsid w:val="00FF187B"/>
    <w:rsid w:val="00FF3A10"/>
    <w:rsid w:val="00FF4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2AD0"/>
  <w15:docId w15:val="{BDC9935C-5022-4517-ACB1-1CFD0643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D8"/>
    <w:pPr>
      <w:widowControl w:val="0"/>
      <w:autoSpaceDE w:val="0"/>
      <w:autoSpaceDN w:val="0"/>
      <w:adjustRightInd w:val="0"/>
      <w:spacing w:after="0" w:line="240" w:lineRule="auto"/>
      <w:jc w:val="both"/>
    </w:pPr>
    <w:rPr>
      <w:rFonts w:ascii="Arial" w:eastAsia="Times New Roman" w:hAnsi="Arial" w:cs="Times New Roman"/>
      <w:sz w:val="24"/>
      <w:szCs w:val="24"/>
      <w:lang w:eastAsia="hr-HR"/>
    </w:rPr>
  </w:style>
  <w:style w:type="paragraph" w:styleId="Naslov1">
    <w:name w:val="heading 1"/>
    <w:basedOn w:val="Normal"/>
    <w:next w:val="Normal"/>
    <w:link w:val="Naslov1Char"/>
    <w:uiPriority w:val="9"/>
    <w:qFormat/>
    <w:rsid w:val="002531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B700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50819"/>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66F6D"/>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1F090C"/>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AA4B05"/>
    <w:pPr>
      <w:keepNext/>
      <w:keepLines/>
      <w:spacing w:before="4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E3BCE"/>
    <w:pPr>
      <w:spacing w:after="0" w:line="240" w:lineRule="auto"/>
    </w:pPr>
    <w:rPr>
      <w:rFonts w:ascii="Calibri" w:eastAsia="Calibri" w:hAnsi="Calibri" w:cs="Times New Roman"/>
    </w:rPr>
  </w:style>
  <w:style w:type="paragraph" w:styleId="Odlomakpopisa">
    <w:name w:val="List Paragraph"/>
    <w:basedOn w:val="Normal"/>
    <w:uiPriority w:val="34"/>
    <w:qFormat/>
    <w:rsid w:val="001E3BCE"/>
    <w:pPr>
      <w:ind w:left="720"/>
      <w:contextualSpacing/>
    </w:pPr>
  </w:style>
  <w:style w:type="table" w:styleId="Reetkatablice">
    <w:name w:val="Table Grid"/>
    <w:basedOn w:val="Obinatablica"/>
    <w:uiPriority w:val="59"/>
    <w:rsid w:val="00E7412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A774C"/>
    <w:rPr>
      <w:sz w:val="16"/>
      <w:szCs w:val="16"/>
    </w:rPr>
  </w:style>
  <w:style w:type="paragraph" w:styleId="Tekstkomentara">
    <w:name w:val="annotation text"/>
    <w:basedOn w:val="Normal"/>
    <w:link w:val="TekstkomentaraChar"/>
    <w:uiPriority w:val="99"/>
    <w:unhideWhenUsed/>
    <w:rsid w:val="009A774C"/>
    <w:rPr>
      <w:sz w:val="20"/>
      <w:szCs w:val="20"/>
    </w:rPr>
  </w:style>
  <w:style w:type="character" w:customStyle="1" w:styleId="TekstkomentaraChar">
    <w:name w:val="Tekst komentara Char"/>
    <w:basedOn w:val="Zadanifontodlomka"/>
    <w:link w:val="Tekstkomentara"/>
    <w:uiPriority w:val="99"/>
    <w:rsid w:val="009A774C"/>
    <w:rPr>
      <w:rFonts w:ascii="Arial" w:eastAsia="Times New Roman" w:hAnsi="Arial" w:cs="Times New Roman"/>
      <w:sz w:val="20"/>
      <w:szCs w:val="20"/>
      <w:lang w:eastAsia="hr-HR"/>
    </w:rPr>
  </w:style>
  <w:style w:type="paragraph" w:styleId="Tekstbalonia">
    <w:name w:val="Balloon Text"/>
    <w:basedOn w:val="Normal"/>
    <w:link w:val="TekstbaloniaChar"/>
    <w:uiPriority w:val="99"/>
    <w:semiHidden/>
    <w:unhideWhenUsed/>
    <w:rsid w:val="009A774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774C"/>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1A2AEF"/>
    <w:rPr>
      <w:b/>
      <w:bCs/>
    </w:rPr>
  </w:style>
  <w:style w:type="character" w:customStyle="1" w:styleId="PredmetkomentaraChar">
    <w:name w:val="Predmet komentara Char"/>
    <w:basedOn w:val="TekstkomentaraChar"/>
    <w:link w:val="Predmetkomentara"/>
    <w:uiPriority w:val="99"/>
    <w:semiHidden/>
    <w:rsid w:val="001A2AEF"/>
    <w:rPr>
      <w:rFonts w:ascii="Arial" w:eastAsia="Times New Roman" w:hAnsi="Arial" w:cs="Times New Roman"/>
      <w:b/>
      <w:bCs/>
      <w:sz w:val="20"/>
      <w:szCs w:val="20"/>
      <w:lang w:eastAsia="hr-HR"/>
    </w:rPr>
  </w:style>
  <w:style w:type="character" w:customStyle="1" w:styleId="Naslov1Char">
    <w:name w:val="Naslov 1 Char"/>
    <w:basedOn w:val="Zadanifontodlomka"/>
    <w:link w:val="Naslov1"/>
    <w:uiPriority w:val="9"/>
    <w:rsid w:val="00253110"/>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uiPriority w:val="9"/>
    <w:rsid w:val="00B70088"/>
    <w:rPr>
      <w:rFonts w:asciiTheme="majorHAnsi" w:eastAsiaTheme="majorEastAsia" w:hAnsiTheme="majorHAnsi" w:cstheme="majorBidi"/>
      <w:color w:val="2E74B5" w:themeColor="accent1" w:themeShade="BF"/>
      <w:sz w:val="26"/>
      <w:szCs w:val="26"/>
      <w:lang w:eastAsia="hr-HR"/>
    </w:rPr>
  </w:style>
  <w:style w:type="character" w:customStyle="1" w:styleId="Naslov3Char">
    <w:name w:val="Naslov 3 Char"/>
    <w:basedOn w:val="Zadanifontodlomka"/>
    <w:link w:val="Naslov3"/>
    <w:uiPriority w:val="9"/>
    <w:rsid w:val="00D50819"/>
    <w:rPr>
      <w:rFonts w:asciiTheme="majorHAnsi" w:eastAsiaTheme="majorEastAsia" w:hAnsiTheme="majorHAnsi" w:cstheme="majorBidi"/>
      <w:color w:val="1F4D78" w:themeColor="accent1" w:themeShade="7F"/>
      <w:sz w:val="24"/>
      <w:szCs w:val="24"/>
      <w:lang w:eastAsia="hr-HR"/>
    </w:rPr>
  </w:style>
  <w:style w:type="paragraph" w:styleId="StandardWeb">
    <w:name w:val="Normal (Web)"/>
    <w:basedOn w:val="Normal"/>
    <w:uiPriority w:val="99"/>
    <w:semiHidden/>
    <w:unhideWhenUsed/>
    <w:rsid w:val="00C73A73"/>
    <w:pPr>
      <w:widowControl/>
      <w:autoSpaceDE/>
      <w:autoSpaceDN/>
      <w:adjustRightInd/>
      <w:spacing w:before="100" w:beforeAutospacing="1" w:after="100" w:afterAutospacing="1"/>
      <w:jc w:val="left"/>
    </w:pPr>
    <w:rPr>
      <w:rFonts w:ascii="Times New Roman" w:hAnsi="Times New Roman"/>
    </w:rPr>
  </w:style>
  <w:style w:type="paragraph" w:customStyle="1" w:styleId="box460019">
    <w:name w:val="box_460019"/>
    <w:basedOn w:val="Normal"/>
    <w:rsid w:val="00C73A73"/>
    <w:pPr>
      <w:widowControl/>
      <w:autoSpaceDE/>
      <w:autoSpaceDN/>
      <w:adjustRightInd/>
      <w:spacing w:before="100" w:beforeAutospacing="1" w:after="100" w:afterAutospacing="1"/>
      <w:jc w:val="left"/>
    </w:pPr>
    <w:rPr>
      <w:rFonts w:ascii="Times New Roman" w:hAnsi="Times New Roman"/>
    </w:rPr>
  </w:style>
  <w:style w:type="paragraph" w:styleId="Tekstfusnote">
    <w:name w:val="footnote text"/>
    <w:basedOn w:val="Normal"/>
    <w:link w:val="TekstfusnoteChar"/>
    <w:uiPriority w:val="99"/>
    <w:semiHidden/>
    <w:unhideWhenUsed/>
    <w:rsid w:val="00304209"/>
    <w:rPr>
      <w:sz w:val="20"/>
      <w:szCs w:val="20"/>
    </w:rPr>
  </w:style>
  <w:style w:type="character" w:customStyle="1" w:styleId="TekstfusnoteChar">
    <w:name w:val="Tekst fusnote Char"/>
    <w:basedOn w:val="Zadanifontodlomka"/>
    <w:link w:val="Tekstfusnote"/>
    <w:uiPriority w:val="99"/>
    <w:semiHidden/>
    <w:rsid w:val="00304209"/>
    <w:rPr>
      <w:rFonts w:ascii="Arial" w:eastAsia="Times New Roman" w:hAnsi="Arial" w:cs="Times New Roman"/>
      <w:sz w:val="20"/>
      <w:szCs w:val="20"/>
      <w:lang w:eastAsia="hr-HR"/>
    </w:rPr>
  </w:style>
  <w:style w:type="character" w:styleId="Referencafusnote">
    <w:name w:val="footnote reference"/>
    <w:basedOn w:val="Zadanifontodlomka"/>
    <w:uiPriority w:val="99"/>
    <w:semiHidden/>
    <w:unhideWhenUsed/>
    <w:rsid w:val="00304209"/>
    <w:rPr>
      <w:vertAlign w:val="superscript"/>
    </w:rPr>
  </w:style>
  <w:style w:type="character" w:customStyle="1" w:styleId="Naslov4Char">
    <w:name w:val="Naslov 4 Char"/>
    <w:basedOn w:val="Zadanifontodlomka"/>
    <w:link w:val="Naslov4"/>
    <w:uiPriority w:val="9"/>
    <w:rsid w:val="00966F6D"/>
    <w:rPr>
      <w:rFonts w:asciiTheme="majorHAnsi" w:eastAsiaTheme="majorEastAsia" w:hAnsiTheme="majorHAnsi" w:cstheme="majorBidi"/>
      <w:i/>
      <w:iCs/>
      <w:color w:val="2E74B5" w:themeColor="accent1" w:themeShade="BF"/>
      <w:sz w:val="24"/>
      <w:szCs w:val="24"/>
      <w:lang w:eastAsia="hr-HR"/>
    </w:rPr>
  </w:style>
  <w:style w:type="character" w:customStyle="1" w:styleId="Naslov5Char">
    <w:name w:val="Naslov 5 Char"/>
    <w:basedOn w:val="Zadanifontodlomka"/>
    <w:link w:val="Naslov5"/>
    <w:uiPriority w:val="9"/>
    <w:rsid w:val="001F090C"/>
    <w:rPr>
      <w:rFonts w:asciiTheme="majorHAnsi" w:eastAsiaTheme="majorEastAsia" w:hAnsiTheme="majorHAnsi" w:cstheme="majorBidi"/>
      <w:color w:val="2E74B5" w:themeColor="accent1" w:themeShade="BF"/>
      <w:sz w:val="24"/>
      <w:szCs w:val="24"/>
      <w:lang w:eastAsia="hr-HR"/>
    </w:rPr>
  </w:style>
  <w:style w:type="character" w:customStyle="1" w:styleId="Naslov6Char">
    <w:name w:val="Naslov 6 Char"/>
    <w:basedOn w:val="Zadanifontodlomka"/>
    <w:link w:val="Naslov6"/>
    <w:uiPriority w:val="9"/>
    <w:rsid w:val="00AA4B05"/>
    <w:rPr>
      <w:rFonts w:asciiTheme="majorHAnsi" w:eastAsiaTheme="majorEastAsia" w:hAnsiTheme="majorHAnsi" w:cstheme="majorBidi"/>
      <w:color w:val="1F4D78" w:themeColor="accent1" w:themeShade="7F"/>
      <w:sz w:val="24"/>
      <w:szCs w:val="24"/>
      <w:lang w:eastAsia="hr-HR"/>
    </w:rPr>
  </w:style>
  <w:style w:type="paragraph" w:customStyle="1" w:styleId="Style1">
    <w:name w:val="Style1"/>
    <w:basedOn w:val="Naslov1"/>
    <w:link w:val="Style1Char"/>
    <w:qFormat/>
    <w:rsid w:val="00BD6578"/>
    <w:pPr>
      <w:numPr>
        <w:numId w:val="22"/>
      </w:numPr>
    </w:pPr>
    <w:rPr>
      <w:rFonts w:ascii="Times New Roman" w:hAnsi="Times New Roman" w:cs="Times New Roman"/>
      <w:color w:val="auto"/>
      <w:sz w:val="28"/>
      <w:szCs w:val="28"/>
    </w:rPr>
  </w:style>
  <w:style w:type="character" w:styleId="Hiperveza">
    <w:name w:val="Hyperlink"/>
    <w:basedOn w:val="Zadanifontodlomka"/>
    <w:uiPriority w:val="99"/>
    <w:unhideWhenUsed/>
    <w:rsid w:val="009D3551"/>
    <w:rPr>
      <w:color w:val="0000FF"/>
      <w:u w:val="single"/>
    </w:rPr>
  </w:style>
  <w:style w:type="character" w:styleId="SlijeenaHiperveza">
    <w:name w:val="FollowedHyperlink"/>
    <w:basedOn w:val="Zadanifontodlomka"/>
    <w:uiPriority w:val="99"/>
    <w:semiHidden/>
    <w:unhideWhenUsed/>
    <w:rsid w:val="009D3551"/>
    <w:rPr>
      <w:color w:val="800080"/>
      <w:u w:val="single"/>
    </w:rPr>
  </w:style>
  <w:style w:type="paragraph" w:customStyle="1" w:styleId="msonormal0">
    <w:name w:val="msonormal"/>
    <w:basedOn w:val="Normal"/>
    <w:rsid w:val="009D3551"/>
    <w:pPr>
      <w:widowControl/>
      <w:autoSpaceDE/>
      <w:autoSpaceDN/>
      <w:adjustRightInd/>
      <w:spacing w:before="100" w:beforeAutospacing="1" w:after="100" w:afterAutospacing="1"/>
      <w:jc w:val="left"/>
    </w:pPr>
    <w:rPr>
      <w:rFonts w:ascii="Times New Roman" w:hAnsi="Times New Roman"/>
    </w:rPr>
  </w:style>
  <w:style w:type="paragraph" w:customStyle="1" w:styleId="xl65">
    <w:name w:val="xl65"/>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rPr>
  </w:style>
  <w:style w:type="paragraph" w:customStyle="1" w:styleId="xl66">
    <w:name w:val="xl66"/>
    <w:basedOn w:val="Normal"/>
    <w:rsid w:val="009D3551"/>
    <w:pPr>
      <w:widowControl/>
      <w:autoSpaceDE/>
      <w:autoSpaceDN/>
      <w:adjustRightInd/>
      <w:spacing w:before="100" w:beforeAutospacing="1" w:after="100" w:afterAutospacing="1"/>
      <w:jc w:val="right"/>
      <w:textAlignment w:val="center"/>
    </w:pPr>
    <w:rPr>
      <w:rFonts w:cs="Arial"/>
    </w:rPr>
  </w:style>
  <w:style w:type="paragraph" w:customStyle="1" w:styleId="xl67">
    <w:name w:val="xl67"/>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rPr>
  </w:style>
  <w:style w:type="paragraph" w:customStyle="1" w:styleId="xl68">
    <w:name w:val="xl68"/>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rPr>
  </w:style>
  <w:style w:type="paragraph" w:customStyle="1" w:styleId="xl69">
    <w:name w:val="xl69"/>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70">
    <w:name w:val="xl70"/>
    <w:basedOn w:val="Normal"/>
    <w:rsid w:val="009D3551"/>
    <w:pPr>
      <w:widowControl/>
      <w:autoSpaceDE/>
      <w:autoSpaceDN/>
      <w:adjustRightInd/>
      <w:spacing w:before="100" w:beforeAutospacing="1" w:after="100" w:afterAutospacing="1"/>
      <w:jc w:val="right"/>
      <w:textAlignment w:val="center"/>
    </w:pPr>
    <w:rPr>
      <w:rFonts w:cs="Arial"/>
      <w:b/>
      <w:bCs/>
    </w:rPr>
  </w:style>
  <w:style w:type="paragraph" w:customStyle="1" w:styleId="xl71">
    <w:name w:val="xl71"/>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b/>
      <w:bCs/>
    </w:rPr>
  </w:style>
  <w:style w:type="paragraph" w:customStyle="1" w:styleId="xl72">
    <w:name w:val="xl72"/>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rPr>
  </w:style>
  <w:style w:type="paragraph" w:customStyle="1" w:styleId="xl73">
    <w:name w:val="xl73"/>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rPr>
  </w:style>
  <w:style w:type="paragraph" w:customStyle="1" w:styleId="xl74">
    <w:name w:val="xl74"/>
    <w:basedOn w:val="Normal"/>
    <w:rsid w:val="009D3551"/>
    <w:pPr>
      <w:widowControl/>
      <w:autoSpaceDE/>
      <w:autoSpaceDN/>
      <w:adjustRightInd/>
      <w:spacing w:before="100" w:beforeAutospacing="1" w:after="100" w:afterAutospacing="1"/>
      <w:jc w:val="right"/>
      <w:textAlignment w:val="center"/>
    </w:pPr>
    <w:rPr>
      <w:rFonts w:cs="Arial"/>
    </w:rPr>
  </w:style>
  <w:style w:type="paragraph" w:customStyle="1" w:styleId="xl75">
    <w:name w:val="xl75"/>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76">
    <w:name w:val="xl76"/>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cs="Arial"/>
      <w:b/>
      <w:bCs/>
    </w:rPr>
  </w:style>
  <w:style w:type="paragraph" w:customStyle="1" w:styleId="xl77">
    <w:name w:val="xl77"/>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rPr>
  </w:style>
  <w:style w:type="paragraph" w:customStyle="1" w:styleId="xl78">
    <w:name w:val="xl78"/>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rPr>
  </w:style>
  <w:style w:type="paragraph" w:customStyle="1" w:styleId="xl79">
    <w:name w:val="xl79"/>
    <w:basedOn w:val="Normal"/>
    <w:rsid w:val="009D3551"/>
    <w:pPr>
      <w:widowControl/>
      <w:autoSpaceDE/>
      <w:autoSpaceDN/>
      <w:adjustRightInd/>
      <w:spacing w:before="100" w:beforeAutospacing="1" w:after="100" w:afterAutospacing="1"/>
      <w:jc w:val="right"/>
      <w:textAlignment w:val="center"/>
    </w:pPr>
    <w:rPr>
      <w:rFonts w:cs="Arial"/>
    </w:rPr>
  </w:style>
  <w:style w:type="paragraph" w:customStyle="1" w:styleId="xl80">
    <w:name w:val="xl80"/>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81">
    <w:name w:val="xl81"/>
    <w:basedOn w:val="Normal"/>
    <w:rsid w:val="009D3551"/>
    <w:pPr>
      <w:widowControl/>
      <w:autoSpaceDE/>
      <w:autoSpaceDN/>
      <w:adjustRightInd/>
      <w:spacing w:before="100" w:beforeAutospacing="1" w:after="100" w:afterAutospacing="1"/>
      <w:jc w:val="left"/>
      <w:textAlignment w:val="center"/>
    </w:pPr>
    <w:rPr>
      <w:rFonts w:cs="Arial"/>
      <w:b/>
      <w:bCs/>
    </w:rPr>
  </w:style>
  <w:style w:type="paragraph" w:customStyle="1" w:styleId="xl82">
    <w:name w:val="xl82"/>
    <w:basedOn w:val="Normal"/>
    <w:rsid w:val="009D3551"/>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left"/>
      <w:textAlignment w:val="center"/>
    </w:pPr>
    <w:rPr>
      <w:rFonts w:cs="Arial"/>
      <w:b/>
      <w:bCs/>
    </w:rPr>
  </w:style>
  <w:style w:type="paragraph" w:customStyle="1" w:styleId="xl83">
    <w:name w:val="xl83"/>
    <w:basedOn w:val="Normal"/>
    <w:rsid w:val="009D3551"/>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right"/>
      <w:textAlignment w:val="center"/>
    </w:pPr>
    <w:rPr>
      <w:rFonts w:cs="Arial"/>
      <w:b/>
      <w:bCs/>
    </w:rPr>
  </w:style>
  <w:style w:type="paragraph" w:customStyle="1" w:styleId="xl84">
    <w:name w:val="xl84"/>
    <w:basedOn w:val="Normal"/>
    <w:rsid w:val="009D3551"/>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left"/>
      <w:textAlignment w:val="center"/>
    </w:pPr>
    <w:rPr>
      <w:rFonts w:cs="Arial"/>
      <w:b/>
      <w:bCs/>
    </w:rPr>
  </w:style>
  <w:style w:type="paragraph" w:customStyle="1" w:styleId="xl85">
    <w:name w:val="xl85"/>
    <w:basedOn w:val="Normal"/>
    <w:rsid w:val="009D355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left"/>
      <w:textAlignment w:val="center"/>
    </w:pPr>
    <w:rPr>
      <w:rFonts w:cs="Arial"/>
    </w:rPr>
  </w:style>
  <w:style w:type="paragraph" w:customStyle="1" w:styleId="xl86">
    <w:name w:val="xl86"/>
    <w:basedOn w:val="Normal"/>
    <w:rsid w:val="009D3551"/>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87">
    <w:name w:val="xl87"/>
    <w:basedOn w:val="Normal"/>
    <w:rsid w:val="009D3551"/>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right"/>
      <w:textAlignment w:val="center"/>
    </w:pPr>
    <w:rPr>
      <w:rFonts w:cs="Arial"/>
      <w:b/>
      <w:bCs/>
    </w:rPr>
  </w:style>
  <w:style w:type="paragraph" w:customStyle="1" w:styleId="xl88">
    <w:name w:val="xl88"/>
    <w:basedOn w:val="Normal"/>
    <w:rsid w:val="009D3551"/>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89">
    <w:name w:val="xl89"/>
    <w:basedOn w:val="Normal"/>
    <w:rsid w:val="009D355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cs="Arial"/>
    </w:rPr>
  </w:style>
  <w:style w:type="paragraph" w:customStyle="1" w:styleId="xl90">
    <w:name w:val="xl90"/>
    <w:basedOn w:val="Normal"/>
    <w:rsid w:val="009D3551"/>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center"/>
    </w:pPr>
    <w:rPr>
      <w:rFonts w:cs="Arial"/>
      <w:b/>
      <w:bCs/>
    </w:rPr>
  </w:style>
  <w:style w:type="paragraph" w:customStyle="1" w:styleId="xl91">
    <w:name w:val="xl91"/>
    <w:basedOn w:val="Normal"/>
    <w:rsid w:val="009D3551"/>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left"/>
      <w:textAlignment w:val="center"/>
    </w:pPr>
    <w:rPr>
      <w:rFonts w:cs="Arial"/>
      <w:b/>
      <w:bCs/>
    </w:rPr>
  </w:style>
  <w:style w:type="paragraph" w:customStyle="1" w:styleId="xl92">
    <w:name w:val="xl92"/>
    <w:basedOn w:val="Normal"/>
    <w:rsid w:val="009D3551"/>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left"/>
      <w:textAlignment w:val="center"/>
    </w:pPr>
    <w:rPr>
      <w:rFonts w:cs="Arial"/>
      <w:b/>
      <w:bCs/>
    </w:rPr>
  </w:style>
  <w:style w:type="paragraph" w:customStyle="1" w:styleId="xl93">
    <w:name w:val="xl93"/>
    <w:basedOn w:val="Normal"/>
    <w:rsid w:val="009D355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left"/>
      <w:textAlignment w:val="center"/>
    </w:pPr>
    <w:rPr>
      <w:rFonts w:cs="Arial"/>
    </w:rPr>
  </w:style>
  <w:style w:type="paragraph" w:customStyle="1" w:styleId="xl94">
    <w:name w:val="xl94"/>
    <w:basedOn w:val="Normal"/>
    <w:rsid w:val="009D355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left"/>
      <w:textAlignment w:val="center"/>
    </w:pPr>
    <w:rPr>
      <w:rFonts w:cs="Arial"/>
      <w:b/>
      <w:bCs/>
    </w:rPr>
  </w:style>
  <w:style w:type="paragraph" w:customStyle="1" w:styleId="xl95">
    <w:name w:val="xl95"/>
    <w:basedOn w:val="Normal"/>
    <w:rsid w:val="009D3551"/>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cs="Arial"/>
      <w:b/>
      <w:bCs/>
    </w:rPr>
  </w:style>
  <w:style w:type="paragraph" w:customStyle="1" w:styleId="xl96">
    <w:name w:val="xl96"/>
    <w:basedOn w:val="Normal"/>
    <w:rsid w:val="009D3551"/>
    <w:pPr>
      <w:widowControl/>
      <w:pBdr>
        <w:top w:val="single" w:sz="4" w:space="0" w:color="auto"/>
        <w:left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97">
    <w:name w:val="xl97"/>
    <w:basedOn w:val="Normal"/>
    <w:rsid w:val="009D3551"/>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rPr>
  </w:style>
  <w:style w:type="paragraph" w:customStyle="1" w:styleId="xl98">
    <w:name w:val="xl98"/>
    <w:basedOn w:val="Normal"/>
    <w:rsid w:val="009D3551"/>
    <w:pPr>
      <w:widowControl/>
      <w:pBdr>
        <w:left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rPr>
  </w:style>
  <w:style w:type="paragraph" w:customStyle="1" w:styleId="xl99">
    <w:name w:val="xl99"/>
    <w:basedOn w:val="Normal"/>
    <w:rsid w:val="009D3551"/>
    <w:pPr>
      <w:widowControl/>
      <w:autoSpaceDE/>
      <w:autoSpaceDN/>
      <w:adjustRightInd/>
      <w:spacing w:before="100" w:beforeAutospacing="1" w:after="100" w:afterAutospacing="1"/>
      <w:ind w:firstLineChars="200" w:firstLine="200"/>
      <w:jc w:val="right"/>
      <w:textAlignment w:val="center"/>
    </w:pPr>
    <w:rPr>
      <w:rFonts w:cs="Arial"/>
    </w:rPr>
  </w:style>
  <w:style w:type="paragraph" w:customStyle="1" w:styleId="xl100">
    <w:name w:val="xl100"/>
    <w:basedOn w:val="Normal"/>
    <w:rsid w:val="009D3551"/>
    <w:pPr>
      <w:widowControl/>
      <w:autoSpaceDE/>
      <w:autoSpaceDN/>
      <w:adjustRightInd/>
      <w:spacing w:before="100" w:beforeAutospacing="1" w:after="100" w:afterAutospacing="1"/>
      <w:ind w:firstLineChars="200" w:firstLine="200"/>
      <w:jc w:val="right"/>
      <w:textAlignment w:val="center"/>
    </w:pPr>
    <w:rPr>
      <w:rFonts w:cs="Arial"/>
    </w:rPr>
  </w:style>
  <w:style w:type="paragraph" w:customStyle="1" w:styleId="xl101">
    <w:name w:val="xl101"/>
    <w:basedOn w:val="Normal"/>
    <w:rsid w:val="009D3551"/>
    <w:pPr>
      <w:widowControl/>
      <w:autoSpaceDE/>
      <w:autoSpaceDN/>
      <w:adjustRightInd/>
      <w:spacing w:before="100" w:beforeAutospacing="1" w:after="100" w:afterAutospacing="1"/>
      <w:ind w:firstLineChars="200" w:firstLine="200"/>
      <w:jc w:val="right"/>
    </w:pPr>
    <w:rPr>
      <w:rFonts w:cs="Arial"/>
    </w:rPr>
  </w:style>
  <w:style w:type="paragraph" w:customStyle="1" w:styleId="xl102">
    <w:name w:val="xl102"/>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03">
    <w:name w:val="xl103"/>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04">
    <w:name w:val="xl104"/>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05">
    <w:name w:val="xl105"/>
    <w:basedOn w:val="Normal"/>
    <w:rsid w:val="009D3551"/>
    <w:pPr>
      <w:widowControl/>
      <w:pBdr>
        <w:top w:val="single" w:sz="4" w:space="0" w:color="auto"/>
        <w:left w:val="single" w:sz="4" w:space="0" w:color="auto"/>
        <w:bottom w:val="single" w:sz="4" w:space="0" w:color="auto"/>
        <w:right w:val="single" w:sz="4" w:space="18" w:color="auto"/>
      </w:pBdr>
      <w:shd w:val="clear" w:color="000000" w:fill="DCE6F1"/>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06">
    <w:name w:val="xl106"/>
    <w:basedOn w:val="Normal"/>
    <w:rsid w:val="009D3551"/>
    <w:pPr>
      <w:widowControl/>
      <w:pBdr>
        <w:top w:val="single" w:sz="4" w:space="0" w:color="auto"/>
        <w:left w:val="single" w:sz="4" w:space="0" w:color="auto"/>
        <w:bottom w:val="single" w:sz="4" w:space="0" w:color="auto"/>
        <w:right w:val="single" w:sz="4" w:space="18" w:color="auto"/>
      </w:pBdr>
      <w:shd w:val="clear" w:color="000000" w:fill="DA9694"/>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07">
    <w:name w:val="xl107"/>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08">
    <w:name w:val="xl108"/>
    <w:basedOn w:val="Normal"/>
    <w:rsid w:val="009D3551"/>
    <w:pPr>
      <w:widowControl/>
      <w:pBdr>
        <w:top w:val="single" w:sz="4" w:space="0" w:color="auto"/>
        <w:left w:val="single" w:sz="4" w:space="0" w:color="auto"/>
        <w:bottom w:val="single" w:sz="4" w:space="0" w:color="auto"/>
        <w:right w:val="single" w:sz="4" w:space="18" w:color="auto"/>
      </w:pBdr>
      <w:shd w:val="clear" w:color="000000" w:fill="FFFFFF"/>
      <w:autoSpaceDE/>
      <w:autoSpaceDN/>
      <w:adjustRightInd/>
      <w:spacing w:before="100" w:beforeAutospacing="1" w:after="100" w:afterAutospacing="1"/>
      <w:ind w:firstLineChars="200" w:firstLine="200"/>
      <w:jc w:val="right"/>
      <w:textAlignment w:val="center"/>
    </w:pPr>
    <w:rPr>
      <w:rFonts w:cs="Arial"/>
    </w:rPr>
  </w:style>
  <w:style w:type="paragraph" w:customStyle="1" w:styleId="xl109">
    <w:name w:val="xl109"/>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10">
    <w:name w:val="xl110"/>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1">
    <w:name w:val="xl111"/>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12">
    <w:name w:val="xl112"/>
    <w:basedOn w:val="Normal"/>
    <w:rsid w:val="009D3551"/>
    <w:pPr>
      <w:widowControl/>
      <w:pBdr>
        <w:top w:val="single" w:sz="4" w:space="0" w:color="auto"/>
        <w:left w:val="single" w:sz="4" w:space="0" w:color="auto"/>
        <w:bottom w:val="single" w:sz="4" w:space="0" w:color="auto"/>
        <w:right w:val="single" w:sz="4" w:space="18" w:color="auto"/>
      </w:pBdr>
      <w:shd w:val="clear" w:color="000000" w:fill="FFFFFF"/>
      <w:autoSpaceDE/>
      <w:autoSpaceDN/>
      <w:adjustRightInd/>
      <w:spacing w:before="100" w:beforeAutospacing="1" w:after="100" w:afterAutospacing="1"/>
      <w:ind w:firstLineChars="200" w:firstLine="200"/>
      <w:jc w:val="right"/>
      <w:textAlignment w:val="center"/>
    </w:pPr>
    <w:rPr>
      <w:rFonts w:cs="Arial"/>
    </w:rPr>
  </w:style>
  <w:style w:type="paragraph" w:customStyle="1" w:styleId="xl113">
    <w:name w:val="xl113"/>
    <w:basedOn w:val="Normal"/>
    <w:rsid w:val="009D3551"/>
    <w:pPr>
      <w:widowControl/>
      <w:pBdr>
        <w:top w:val="single" w:sz="4" w:space="0" w:color="auto"/>
        <w:left w:val="single" w:sz="4" w:space="0" w:color="auto"/>
        <w:bottom w:val="single" w:sz="4" w:space="0" w:color="auto"/>
        <w:right w:val="single" w:sz="4" w:space="18" w:color="auto"/>
      </w:pBdr>
      <w:shd w:val="clear" w:color="000000" w:fill="FFFFFF"/>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4">
    <w:name w:val="xl114"/>
    <w:basedOn w:val="Normal"/>
    <w:rsid w:val="009D3551"/>
    <w:pPr>
      <w:widowControl/>
      <w:pBdr>
        <w:top w:val="single" w:sz="4" w:space="0" w:color="auto"/>
        <w:left w:val="single" w:sz="4" w:space="0" w:color="auto"/>
        <w:bottom w:val="single" w:sz="4" w:space="0" w:color="auto"/>
        <w:right w:val="single" w:sz="4" w:space="18" w:color="auto"/>
      </w:pBdr>
      <w:shd w:val="clear" w:color="000000" w:fill="FFFFFF"/>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5">
    <w:name w:val="xl115"/>
    <w:basedOn w:val="Normal"/>
    <w:rsid w:val="009D3551"/>
    <w:pPr>
      <w:widowControl/>
      <w:pBdr>
        <w:top w:val="single" w:sz="4" w:space="0" w:color="auto"/>
        <w:left w:val="single" w:sz="4" w:space="0" w:color="auto"/>
        <w:bottom w:val="single" w:sz="4" w:space="0" w:color="auto"/>
        <w:right w:val="single" w:sz="4" w:space="18" w:color="auto"/>
      </w:pBdr>
      <w:shd w:val="clear" w:color="000000" w:fill="DCE6F1"/>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6">
    <w:name w:val="xl116"/>
    <w:basedOn w:val="Normal"/>
    <w:rsid w:val="009D3551"/>
    <w:pPr>
      <w:widowControl/>
      <w:pBdr>
        <w:top w:val="single" w:sz="4" w:space="0" w:color="auto"/>
        <w:left w:val="single" w:sz="4" w:space="0" w:color="auto"/>
        <w:bottom w:val="single" w:sz="4" w:space="0" w:color="auto"/>
        <w:right w:val="single" w:sz="4" w:space="18" w:color="auto"/>
      </w:pBdr>
      <w:shd w:val="clear" w:color="000000" w:fill="DCE6F1"/>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7">
    <w:name w:val="xl117"/>
    <w:basedOn w:val="Normal"/>
    <w:rsid w:val="009D3551"/>
    <w:pPr>
      <w:widowControl/>
      <w:pBdr>
        <w:top w:val="single" w:sz="4" w:space="0" w:color="auto"/>
        <w:left w:val="single" w:sz="4" w:space="0" w:color="auto"/>
        <w:bottom w:val="single" w:sz="4" w:space="0" w:color="auto"/>
        <w:right w:val="single" w:sz="4" w:space="18" w:color="auto"/>
      </w:pBdr>
      <w:shd w:val="clear" w:color="000000" w:fill="DA9694"/>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8">
    <w:name w:val="xl118"/>
    <w:basedOn w:val="Normal"/>
    <w:rsid w:val="009D3551"/>
    <w:pPr>
      <w:widowControl/>
      <w:pBdr>
        <w:top w:val="single" w:sz="4" w:space="0" w:color="auto"/>
        <w:left w:val="single" w:sz="4" w:space="0" w:color="auto"/>
        <w:bottom w:val="single" w:sz="4" w:space="0" w:color="auto"/>
        <w:right w:val="single" w:sz="4" w:space="18" w:color="auto"/>
      </w:pBdr>
      <w:shd w:val="clear" w:color="000000" w:fill="DA9694"/>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19">
    <w:name w:val="xl119"/>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20">
    <w:name w:val="xl120"/>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21">
    <w:name w:val="xl121"/>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22">
    <w:name w:val="xl122"/>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pPr>
    <w:rPr>
      <w:rFonts w:cs="Arial"/>
      <w:b/>
      <w:bCs/>
    </w:rPr>
  </w:style>
  <w:style w:type="paragraph" w:customStyle="1" w:styleId="xl123">
    <w:name w:val="xl123"/>
    <w:basedOn w:val="Normal"/>
    <w:rsid w:val="009D3551"/>
    <w:pPr>
      <w:widowControl/>
      <w:pBdr>
        <w:top w:val="single" w:sz="4" w:space="0" w:color="auto"/>
        <w:left w:val="single" w:sz="4" w:space="0" w:color="auto"/>
        <w:bottom w:val="single" w:sz="4" w:space="0" w:color="auto"/>
        <w:right w:val="single" w:sz="4" w:space="18" w:color="auto"/>
      </w:pBdr>
      <w:shd w:val="clear" w:color="000000" w:fill="FFFFFF"/>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24">
    <w:name w:val="xl124"/>
    <w:basedOn w:val="Normal"/>
    <w:rsid w:val="009D3551"/>
    <w:pPr>
      <w:widowControl/>
      <w:pBdr>
        <w:top w:val="single" w:sz="4" w:space="0" w:color="auto"/>
        <w:left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25">
    <w:name w:val="xl125"/>
    <w:basedOn w:val="Normal"/>
    <w:rsid w:val="009D3551"/>
    <w:pPr>
      <w:widowControl/>
      <w:pBdr>
        <w:top w:val="single" w:sz="4" w:space="0" w:color="auto"/>
        <w:left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26">
    <w:name w:val="xl126"/>
    <w:basedOn w:val="Normal"/>
    <w:rsid w:val="009D3551"/>
    <w:pPr>
      <w:widowControl/>
      <w:pBdr>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27">
    <w:name w:val="xl127"/>
    <w:basedOn w:val="Normal"/>
    <w:rsid w:val="009D3551"/>
    <w:pPr>
      <w:widowControl/>
      <w:pBdr>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28">
    <w:name w:val="xl128"/>
    <w:basedOn w:val="Normal"/>
    <w:rsid w:val="009D3551"/>
    <w:pPr>
      <w:widowControl/>
      <w:pBdr>
        <w:top w:val="single" w:sz="4" w:space="0" w:color="auto"/>
        <w:left w:val="single" w:sz="4" w:space="0" w:color="auto"/>
        <w:bottom w:val="single" w:sz="4" w:space="0" w:color="auto"/>
        <w:right w:val="single" w:sz="4" w:space="18" w:color="auto"/>
      </w:pBdr>
      <w:shd w:val="clear" w:color="000000" w:fill="E6B8B7"/>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29">
    <w:name w:val="xl129"/>
    <w:basedOn w:val="Normal"/>
    <w:rsid w:val="009D3551"/>
    <w:pPr>
      <w:widowControl/>
      <w:pBdr>
        <w:top w:val="single" w:sz="4" w:space="0" w:color="auto"/>
        <w:left w:val="single" w:sz="4" w:space="0" w:color="auto"/>
        <w:bottom w:val="single" w:sz="4" w:space="0" w:color="auto"/>
        <w:right w:val="single" w:sz="4" w:space="18" w:color="auto"/>
      </w:pBdr>
      <w:shd w:val="clear" w:color="000000" w:fill="DCE6F1"/>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30">
    <w:name w:val="xl130"/>
    <w:basedOn w:val="Normal"/>
    <w:rsid w:val="009D3551"/>
    <w:pPr>
      <w:widowControl/>
      <w:pBdr>
        <w:top w:val="single" w:sz="4" w:space="0" w:color="auto"/>
        <w:left w:val="single" w:sz="4" w:space="0" w:color="auto"/>
        <w:bottom w:val="single" w:sz="4" w:space="0" w:color="auto"/>
        <w:right w:val="single" w:sz="4" w:space="18" w:color="auto"/>
      </w:pBdr>
      <w:shd w:val="clear" w:color="000000" w:fill="FDE9D9"/>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31">
    <w:name w:val="xl131"/>
    <w:basedOn w:val="Normal"/>
    <w:rsid w:val="009D3551"/>
    <w:pPr>
      <w:widowControl/>
      <w:pBdr>
        <w:top w:val="single" w:sz="4" w:space="0" w:color="auto"/>
        <w:left w:val="single" w:sz="4" w:space="0" w:color="auto"/>
        <w:bottom w:val="single" w:sz="4" w:space="0" w:color="auto"/>
        <w:right w:val="single" w:sz="4" w:space="18" w:color="auto"/>
      </w:pBdr>
      <w:shd w:val="clear" w:color="000000" w:fill="FDE9D9"/>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32">
    <w:name w:val="xl132"/>
    <w:basedOn w:val="Normal"/>
    <w:rsid w:val="009D3551"/>
    <w:pPr>
      <w:widowControl/>
      <w:pBdr>
        <w:top w:val="single" w:sz="4" w:space="0" w:color="auto"/>
        <w:left w:val="single" w:sz="4" w:space="0" w:color="auto"/>
        <w:bottom w:val="single" w:sz="4" w:space="0" w:color="auto"/>
        <w:right w:val="single" w:sz="4" w:space="18" w:color="auto"/>
      </w:pBdr>
      <w:shd w:val="clear" w:color="000000" w:fill="FDE9D9"/>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33">
    <w:name w:val="xl133"/>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textAlignment w:val="center"/>
    </w:pPr>
    <w:rPr>
      <w:rFonts w:cs="Arial"/>
    </w:rPr>
  </w:style>
  <w:style w:type="paragraph" w:customStyle="1" w:styleId="xl134">
    <w:name w:val="xl134"/>
    <w:basedOn w:val="Normal"/>
    <w:rsid w:val="009D3551"/>
    <w:pPr>
      <w:widowControl/>
      <w:pBdr>
        <w:top w:val="single" w:sz="4" w:space="0" w:color="auto"/>
        <w:left w:val="single" w:sz="4" w:space="0" w:color="auto"/>
        <w:bottom w:val="single" w:sz="4" w:space="0" w:color="auto"/>
        <w:right w:val="single" w:sz="4" w:space="18" w:color="auto"/>
      </w:pBdr>
      <w:shd w:val="clear" w:color="000000" w:fill="FDE9D9"/>
      <w:autoSpaceDE/>
      <w:autoSpaceDN/>
      <w:adjustRightInd/>
      <w:spacing w:before="100" w:beforeAutospacing="1" w:after="100" w:afterAutospacing="1"/>
      <w:ind w:firstLineChars="200" w:firstLine="200"/>
      <w:jc w:val="right"/>
    </w:pPr>
    <w:rPr>
      <w:rFonts w:cs="Arial"/>
      <w:b/>
      <w:bCs/>
    </w:rPr>
  </w:style>
  <w:style w:type="paragraph" w:customStyle="1" w:styleId="xl135">
    <w:name w:val="xl135"/>
    <w:basedOn w:val="Normal"/>
    <w:rsid w:val="009D3551"/>
    <w:pPr>
      <w:widowControl/>
      <w:pBdr>
        <w:top w:val="single" w:sz="4" w:space="0" w:color="auto"/>
        <w:left w:val="single" w:sz="4" w:space="0" w:color="auto"/>
        <w:bottom w:val="single" w:sz="4" w:space="0" w:color="auto"/>
        <w:right w:val="single" w:sz="4" w:space="18" w:color="auto"/>
      </w:pBdr>
      <w:autoSpaceDE/>
      <w:autoSpaceDN/>
      <w:adjustRightInd/>
      <w:spacing w:before="100" w:beforeAutospacing="1" w:after="100" w:afterAutospacing="1"/>
      <w:ind w:firstLineChars="200" w:firstLine="200"/>
      <w:jc w:val="right"/>
    </w:pPr>
    <w:rPr>
      <w:rFonts w:cs="Arial"/>
    </w:rPr>
  </w:style>
  <w:style w:type="paragraph" w:customStyle="1" w:styleId="xl136">
    <w:name w:val="xl136"/>
    <w:basedOn w:val="Normal"/>
    <w:rsid w:val="009D3551"/>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left"/>
      <w:textAlignment w:val="center"/>
    </w:pPr>
    <w:rPr>
      <w:rFonts w:cs="Arial"/>
      <w:b/>
      <w:bCs/>
    </w:rPr>
  </w:style>
  <w:style w:type="paragraph" w:customStyle="1" w:styleId="xl137">
    <w:name w:val="xl137"/>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cs="Arial"/>
      <w:b/>
      <w:bCs/>
    </w:rPr>
  </w:style>
  <w:style w:type="paragraph" w:customStyle="1" w:styleId="xl138">
    <w:name w:val="xl138"/>
    <w:basedOn w:val="Normal"/>
    <w:rsid w:val="009D3551"/>
    <w:pPr>
      <w:widowControl/>
      <w:shd w:val="clear" w:color="000000" w:fill="FFFFFF"/>
      <w:autoSpaceDE/>
      <w:autoSpaceDN/>
      <w:adjustRightInd/>
      <w:spacing w:before="100" w:beforeAutospacing="1" w:after="100" w:afterAutospacing="1"/>
      <w:jc w:val="right"/>
      <w:textAlignment w:val="center"/>
    </w:pPr>
    <w:rPr>
      <w:rFonts w:cs="Arial"/>
      <w:b/>
      <w:bCs/>
    </w:rPr>
  </w:style>
  <w:style w:type="paragraph" w:customStyle="1" w:styleId="xl139">
    <w:name w:val="xl139"/>
    <w:basedOn w:val="Normal"/>
    <w:rsid w:val="009D3551"/>
    <w:pPr>
      <w:widowControl/>
      <w:shd w:val="clear" w:color="000000" w:fill="FFFFFF"/>
      <w:autoSpaceDE/>
      <w:autoSpaceDN/>
      <w:adjustRightInd/>
      <w:spacing w:before="100" w:beforeAutospacing="1" w:after="100" w:afterAutospacing="1"/>
      <w:jc w:val="right"/>
      <w:textAlignment w:val="center"/>
    </w:pPr>
    <w:rPr>
      <w:rFonts w:cs="Arial"/>
    </w:rPr>
  </w:style>
  <w:style w:type="paragraph" w:customStyle="1" w:styleId="xl140">
    <w:name w:val="xl140"/>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cs="Arial"/>
      <w:b/>
      <w:bCs/>
    </w:rPr>
  </w:style>
  <w:style w:type="paragraph" w:customStyle="1" w:styleId="xl141">
    <w:name w:val="xl141"/>
    <w:basedOn w:val="Normal"/>
    <w:rsid w:val="009D355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cs="Arial"/>
      <w:b/>
      <w:bCs/>
    </w:rPr>
  </w:style>
  <w:style w:type="paragraph" w:customStyle="1" w:styleId="xl142">
    <w:name w:val="xl142"/>
    <w:basedOn w:val="Normal"/>
    <w:rsid w:val="009D3551"/>
    <w:pPr>
      <w:widowControl/>
      <w:pBdr>
        <w:top w:val="single" w:sz="4" w:space="0" w:color="auto"/>
        <w:left w:val="single" w:sz="4" w:space="0" w:color="auto"/>
        <w:bottom w:val="single" w:sz="4" w:space="0" w:color="auto"/>
        <w:right w:val="single" w:sz="4" w:space="18" w:color="auto"/>
      </w:pBdr>
      <w:shd w:val="clear" w:color="000000" w:fill="FDE9D9"/>
      <w:autoSpaceDE/>
      <w:autoSpaceDN/>
      <w:adjustRightInd/>
      <w:spacing w:before="100" w:beforeAutospacing="1" w:after="100" w:afterAutospacing="1"/>
      <w:ind w:firstLineChars="200" w:firstLine="200"/>
      <w:jc w:val="right"/>
      <w:textAlignment w:val="center"/>
    </w:pPr>
    <w:rPr>
      <w:rFonts w:cs="Arial"/>
      <w:b/>
      <w:bCs/>
    </w:rPr>
  </w:style>
  <w:style w:type="paragraph" w:customStyle="1" w:styleId="xl143">
    <w:name w:val="xl143"/>
    <w:basedOn w:val="Normal"/>
    <w:rsid w:val="009D3551"/>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left"/>
      <w:textAlignment w:val="center"/>
    </w:pPr>
    <w:rPr>
      <w:rFonts w:cs="Arial"/>
      <w:b/>
      <w:bCs/>
    </w:rPr>
  </w:style>
  <w:style w:type="paragraph" w:customStyle="1" w:styleId="xl144">
    <w:name w:val="xl144"/>
    <w:basedOn w:val="Normal"/>
    <w:rsid w:val="009D3551"/>
    <w:pPr>
      <w:widowControl/>
      <w:pBdr>
        <w:top w:val="single" w:sz="4" w:space="0" w:color="auto"/>
        <w:left w:val="single" w:sz="4" w:space="0" w:color="auto"/>
        <w:bottom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45">
    <w:name w:val="xl145"/>
    <w:basedOn w:val="Normal"/>
    <w:rsid w:val="009D3551"/>
    <w:pPr>
      <w:widowControl/>
      <w:pBdr>
        <w:top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46">
    <w:name w:val="xl146"/>
    <w:basedOn w:val="Normal"/>
    <w:rsid w:val="009D3551"/>
    <w:pPr>
      <w:widowControl/>
      <w:pBdr>
        <w:top w:val="single" w:sz="4" w:space="0" w:color="auto"/>
        <w:left w:val="single" w:sz="4" w:space="0" w:color="auto"/>
        <w:bottom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147">
    <w:name w:val="xl147"/>
    <w:basedOn w:val="Normal"/>
    <w:rsid w:val="009D3551"/>
    <w:pPr>
      <w:widowControl/>
      <w:pBdr>
        <w:top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148">
    <w:name w:val="xl148"/>
    <w:basedOn w:val="Normal"/>
    <w:rsid w:val="00D75B5D"/>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left"/>
      <w:textAlignment w:val="center"/>
    </w:pPr>
    <w:rPr>
      <w:rFonts w:cs="Arial"/>
      <w:b/>
      <w:bCs/>
    </w:rPr>
  </w:style>
  <w:style w:type="paragraph" w:styleId="Revizija">
    <w:name w:val="Revision"/>
    <w:hidden/>
    <w:uiPriority w:val="99"/>
    <w:semiHidden/>
    <w:rsid w:val="006C36B9"/>
    <w:pPr>
      <w:spacing w:after="0" w:line="240" w:lineRule="auto"/>
    </w:pPr>
    <w:rPr>
      <w:rFonts w:ascii="Arial" w:eastAsia="Times New Roman" w:hAnsi="Arial" w:cs="Times New Roman"/>
      <w:sz w:val="24"/>
      <w:szCs w:val="24"/>
      <w:lang w:eastAsia="hr-HR"/>
    </w:rPr>
  </w:style>
  <w:style w:type="table" w:customStyle="1" w:styleId="StilTablice">
    <w:name w:val="StilTablice"/>
    <w:basedOn w:val="Obinatablica"/>
    <w:uiPriority w:val="99"/>
    <w:rsid w:val="00A507A1"/>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Tekstkomentara1">
    <w:name w:val="Tekst komentara1"/>
    <w:basedOn w:val="Normal"/>
    <w:next w:val="Tekstkomentara"/>
    <w:uiPriority w:val="99"/>
    <w:unhideWhenUsed/>
    <w:rsid w:val="00A507A1"/>
    <w:pPr>
      <w:widowControl/>
      <w:autoSpaceDE/>
      <w:autoSpaceDN/>
      <w:adjustRightInd/>
      <w:spacing w:after="160"/>
      <w:jc w:val="left"/>
    </w:pPr>
    <w:rPr>
      <w:rFonts w:asciiTheme="minorHAnsi" w:eastAsiaTheme="minorHAnsi" w:hAnsiTheme="minorHAnsi" w:cstheme="minorBidi"/>
      <w:sz w:val="20"/>
      <w:szCs w:val="20"/>
      <w:lang w:eastAsia="en-US"/>
    </w:rPr>
  </w:style>
  <w:style w:type="paragraph" w:customStyle="1" w:styleId="CellHeader">
    <w:name w:val="CellHeader"/>
    <w:basedOn w:val="Normal"/>
    <w:qFormat/>
    <w:rsid w:val="00916FC3"/>
    <w:pPr>
      <w:widowControl/>
      <w:overflowPunct w:val="0"/>
      <w:spacing w:after="120"/>
      <w:textAlignment w:val="baseline"/>
    </w:pPr>
    <w:rPr>
      <w:rFonts w:ascii="Times New Roman" w:hAnsi="Times New Roman" w:cs="Arial"/>
      <w:bCs/>
      <w:sz w:val="20"/>
      <w:szCs w:val="22"/>
      <w:lang w:val="sl-SI"/>
    </w:rPr>
  </w:style>
  <w:style w:type="table" w:customStyle="1" w:styleId="StilTablice1">
    <w:name w:val="StilTablice1"/>
    <w:basedOn w:val="Obinatablica"/>
    <w:uiPriority w:val="99"/>
    <w:rsid w:val="00110229"/>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Zaglavlje">
    <w:name w:val="header"/>
    <w:basedOn w:val="Normal"/>
    <w:link w:val="ZaglavljeChar"/>
    <w:uiPriority w:val="99"/>
    <w:unhideWhenUsed/>
    <w:rsid w:val="00B17380"/>
    <w:pPr>
      <w:tabs>
        <w:tab w:val="center" w:pos="4536"/>
        <w:tab w:val="right" w:pos="9072"/>
      </w:tabs>
    </w:pPr>
  </w:style>
  <w:style w:type="character" w:customStyle="1" w:styleId="ZaglavljeChar">
    <w:name w:val="Zaglavlje Char"/>
    <w:basedOn w:val="Zadanifontodlomka"/>
    <w:link w:val="Zaglavlje"/>
    <w:uiPriority w:val="99"/>
    <w:rsid w:val="00B17380"/>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B17380"/>
    <w:pPr>
      <w:tabs>
        <w:tab w:val="center" w:pos="4536"/>
        <w:tab w:val="right" w:pos="9072"/>
      </w:tabs>
    </w:pPr>
  </w:style>
  <w:style w:type="character" w:customStyle="1" w:styleId="PodnojeChar">
    <w:name w:val="Podnožje Char"/>
    <w:basedOn w:val="Zadanifontodlomka"/>
    <w:link w:val="Podnoje"/>
    <w:uiPriority w:val="99"/>
    <w:rsid w:val="00B17380"/>
    <w:rPr>
      <w:rFonts w:ascii="Arial" w:eastAsia="Times New Roman" w:hAnsi="Arial" w:cs="Times New Roman"/>
      <w:sz w:val="24"/>
      <w:szCs w:val="24"/>
      <w:lang w:eastAsia="hr-HR"/>
    </w:rPr>
  </w:style>
  <w:style w:type="paragraph" w:customStyle="1" w:styleId="xl149">
    <w:name w:val="xl149"/>
    <w:basedOn w:val="Normal"/>
    <w:rsid w:val="00A610B3"/>
    <w:pPr>
      <w:widowControl/>
      <w:pBdr>
        <w:top w:val="single" w:sz="4" w:space="0" w:color="auto"/>
        <w:left w:val="single" w:sz="4" w:space="0" w:color="auto"/>
        <w:bottom w:val="single" w:sz="4" w:space="0" w:color="auto"/>
        <w:right w:val="single" w:sz="4" w:space="9" w:color="auto"/>
      </w:pBdr>
      <w:shd w:val="clear" w:color="000000" w:fill="D8E4BC"/>
      <w:autoSpaceDE/>
      <w:autoSpaceDN/>
      <w:adjustRightInd/>
      <w:spacing w:before="100" w:beforeAutospacing="1" w:after="100" w:afterAutospacing="1"/>
      <w:ind w:firstLineChars="100" w:firstLine="100"/>
      <w:jc w:val="right"/>
      <w:textAlignment w:val="center"/>
    </w:pPr>
    <w:rPr>
      <w:rFonts w:cs="Arial"/>
      <w:b/>
      <w:bCs/>
    </w:rPr>
  </w:style>
  <w:style w:type="paragraph" w:customStyle="1" w:styleId="xl150">
    <w:name w:val="xl150"/>
    <w:basedOn w:val="Normal"/>
    <w:rsid w:val="00A610B3"/>
    <w:pPr>
      <w:widowControl/>
      <w:pBdr>
        <w:top w:val="single" w:sz="4" w:space="0" w:color="auto"/>
        <w:left w:val="single" w:sz="4" w:space="0" w:color="auto"/>
        <w:bottom w:val="single" w:sz="4" w:space="0" w:color="auto"/>
        <w:right w:val="single" w:sz="4" w:space="9" w:color="auto"/>
      </w:pBdr>
      <w:shd w:val="clear" w:color="000000" w:fill="E6B8B7"/>
      <w:autoSpaceDE/>
      <w:autoSpaceDN/>
      <w:adjustRightInd/>
      <w:spacing w:before="100" w:beforeAutospacing="1" w:after="100" w:afterAutospacing="1"/>
      <w:ind w:firstLineChars="100" w:firstLine="100"/>
      <w:jc w:val="right"/>
      <w:textAlignment w:val="center"/>
    </w:pPr>
    <w:rPr>
      <w:rFonts w:cs="Arial"/>
      <w:b/>
      <w:bCs/>
    </w:rPr>
  </w:style>
  <w:style w:type="paragraph" w:customStyle="1" w:styleId="xl151">
    <w:name w:val="xl151"/>
    <w:basedOn w:val="Normal"/>
    <w:rsid w:val="00A610B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left"/>
      <w:textAlignment w:val="center"/>
    </w:pPr>
    <w:rPr>
      <w:rFonts w:cs="Arial"/>
      <w:b/>
      <w:bCs/>
    </w:rPr>
  </w:style>
  <w:style w:type="paragraph" w:customStyle="1" w:styleId="xl152">
    <w:name w:val="xl152"/>
    <w:basedOn w:val="Normal"/>
    <w:rsid w:val="00A610B3"/>
    <w:pPr>
      <w:widowControl/>
      <w:pBdr>
        <w:top w:val="single" w:sz="4" w:space="0" w:color="auto"/>
        <w:left w:val="single" w:sz="4" w:space="0" w:color="auto"/>
        <w:bottom w:val="single" w:sz="4" w:space="0" w:color="auto"/>
        <w:right w:val="single" w:sz="4" w:space="9" w:color="auto"/>
      </w:pBdr>
      <w:shd w:val="clear" w:color="000000" w:fill="FFFFFF"/>
      <w:autoSpaceDE/>
      <w:autoSpaceDN/>
      <w:adjustRightInd/>
      <w:spacing w:before="100" w:beforeAutospacing="1" w:after="100" w:afterAutospacing="1"/>
      <w:ind w:firstLineChars="100" w:firstLine="100"/>
      <w:jc w:val="right"/>
      <w:textAlignment w:val="center"/>
    </w:pPr>
    <w:rPr>
      <w:rFonts w:cs="Arial"/>
      <w:b/>
      <w:bCs/>
    </w:rPr>
  </w:style>
  <w:style w:type="paragraph" w:customStyle="1" w:styleId="xl153">
    <w:name w:val="xl153"/>
    <w:basedOn w:val="Normal"/>
    <w:rsid w:val="00A610B3"/>
    <w:pPr>
      <w:widowControl/>
      <w:pBdr>
        <w:top w:val="single" w:sz="4" w:space="0" w:color="auto"/>
        <w:left w:val="single" w:sz="4" w:space="0" w:color="auto"/>
        <w:bottom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54">
    <w:name w:val="xl154"/>
    <w:basedOn w:val="Normal"/>
    <w:rsid w:val="00A610B3"/>
    <w:pPr>
      <w:widowControl/>
      <w:pBdr>
        <w:top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55">
    <w:name w:val="xl155"/>
    <w:basedOn w:val="Normal"/>
    <w:rsid w:val="00A610B3"/>
    <w:pPr>
      <w:widowControl/>
      <w:pBdr>
        <w:top w:val="single" w:sz="4" w:space="0" w:color="auto"/>
        <w:left w:val="single" w:sz="4" w:space="0" w:color="auto"/>
        <w:bottom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156">
    <w:name w:val="xl156"/>
    <w:basedOn w:val="Normal"/>
    <w:rsid w:val="00A610B3"/>
    <w:pPr>
      <w:widowControl/>
      <w:pBdr>
        <w:top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157">
    <w:name w:val="xl157"/>
    <w:basedOn w:val="Normal"/>
    <w:rsid w:val="00627679"/>
    <w:pPr>
      <w:widowControl/>
      <w:pBdr>
        <w:top w:val="single" w:sz="4" w:space="0" w:color="auto"/>
        <w:left w:val="single" w:sz="4" w:space="0" w:color="auto"/>
        <w:bottom w:val="single" w:sz="4" w:space="0" w:color="auto"/>
        <w:right w:val="single" w:sz="4" w:space="14" w:color="auto"/>
      </w:pBdr>
      <w:shd w:val="clear" w:color="000000" w:fill="FFFF00"/>
      <w:autoSpaceDE/>
      <w:autoSpaceDN/>
      <w:adjustRightInd/>
      <w:spacing w:before="100" w:beforeAutospacing="1" w:after="100" w:afterAutospacing="1"/>
      <w:ind w:firstLineChars="200" w:firstLine="200"/>
      <w:jc w:val="right"/>
      <w:textAlignment w:val="center"/>
    </w:pPr>
    <w:rPr>
      <w:rFonts w:cs="Arial"/>
    </w:rPr>
  </w:style>
  <w:style w:type="paragraph" w:customStyle="1" w:styleId="xl158">
    <w:name w:val="xl158"/>
    <w:basedOn w:val="Normal"/>
    <w:rsid w:val="00627679"/>
    <w:pPr>
      <w:widowControl/>
      <w:pBdr>
        <w:top w:val="single" w:sz="4" w:space="0" w:color="auto"/>
        <w:left w:val="single" w:sz="4" w:space="0" w:color="auto"/>
        <w:bottom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59">
    <w:name w:val="xl159"/>
    <w:basedOn w:val="Normal"/>
    <w:rsid w:val="00627679"/>
    <w:pPr>
      <w:widowControl/>
      <w:pBdr>
        <w:top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left"/>
      <w:textAlignment w:val="center"/>
    </w:pPr>
    <w:rPr>
      <w:rFonts w:cs="Arial"/>
      <w:b/>
      <w:bCs/>
    </w:rPr>
  </w:style>
  <w:style w:type="paragraph" w:customStyle="1" w:styleId="xl160">
    <w:name w:val="xl160"/>
    <w:basedOn w:val="Normal"/>
    <w:rsid w:val="00627679"/>
    <w:pPr>
      <w:widowControl/>
      <w:pBdr>
        <w:top w:val="single" w:sz="4" w:space="0" w:color="auto"/>
        <w:left w:val="single" w:sz="4" w:space="0" w:color="auto"/>
        <w:bottom w:val="single" w:sz="4" w:space="0" w:color="auto"/>
      </w:pBdr>
      <w:autoSpaceDE/>
      <w:autoSpaceDN/>
      <w:adjustRightInd/>
      <w:spacing w:before="100" w:beforeAutospacing="1" w:after="100" w:afterAutospacing="1"/>
      <w:jc w:val="left"/>
      <w:textAlignment w:val="center"/>
    </w:pPr>
    <w:rPr>
      <w:rFonts w:cs="Arial"/>
      <w:b/>
      <w:bCs/>
    </w:rPr>
  </w:style>
  <w:style w:type="paragraph" w:customStyle="1" w:styleId="xl161">
    <w:name w:val="xl161"/>
    <w:basedOn w:val="Normal"/>
    <w:rsid w:val="00627679"/>
    <w:pPr>
      <w:widowControl/>
      <w:pBdr>
        <w:top w:val="single" w:sz="4" w:space="0" w:color="auto"/>
        <w:bottom w:val="single" w:sz="4" w:space="0" w:color="auto"/>
        <w:right w:val="single" w:sz="4" w:space="0" w:color="auto"/>
      </w:pBdr>
      <w:autoSpaceDE/>
      <w:autoSpaceDN/>
      <w:adjustRightInd/>
      <w:spacing w:before="100" w:beforeAutospacing="1" w:after="100" w:afterAutospacing="1"/>
      <w:jc w:val="left"/>
      <w:textAlignment w:val="center"/>
    </w:pPr>
    <w:rPr>
      <w:rFonts w:cs="Arial"/>
      <w:b/>
      <w:bCs/>
    </w:rPr>
  </w:style>
  <w:style w:type="paragraph" w:styleId="TOCNaslov">
    <w:name w:val="TOC Heading"/>
    <w:basedOn w:val="Naslov1"/>
    <w:next w:val="Normal"/>
    <w:uiPriority w:val="39"/>
    <w:unhideWhenUsed/>
    <w:qFormat/>
    <w:rsid w:val="00397DD8"/>
    <w:pPr>
      <w:widowControl/>
      <w:autoSpaceDE/>
      <w:autoSpaceDN/>
      <w:adjustRightInd/>
      <w:spacing w:line="259" w:lineRule="auto"/>
      <w:jc w:val="left"/>
      <w:outlineLvl w:val="9"/>
    </w:pPr>
  </w:style>
  <w:style w:type="paragraph" w:styleId="Sadraj2">
    <w:name w:val="toc 2"/>
    <w:basedOn w:val="Normal"/>
    <w:next w:val="Normal"/>
    <w:autoRedefine/>
    <w:uiPriority w:val="39"/>
    <w:unhideWhenUsed/>
    <w:rsid w:val="0091390C"/>
    <w:pPr>
      <w:tabs>
        <w:tab w:val="right" w:leader="dot" w:pos="9628"/>
      </w:tabs>
      <w:spacing w:after="100"/>
      <w:ind w:left="993" w:hanging="567"/>
    </w:pPr>
  </w:style>
  <w:style w:type="paragraph" w:styleId="Sadraj3">
    <w:name w:val="toc 3"/>
    <w:basedOn w:val="Normal"/>
    <w:next w:val="Normal"/>
    <w:autoRedefine/>
    <w:uiPriority w:val="39"/>
    <w:unhideWhenUsed/>
    <w:rsid w:val="00B34CC5"/>
    <w:pPr>
      <w:tabs>
        <w:tab w:val="right" w:leader="dot" w:pos="9628"/>
      </w:tabs>
      <w:spacing w:after="100"/>
      <w:ind w:left="1134" w:hanging="708"/>
    </w:pPr>
  </w:style>
  <w:style w:type="paragraph" w:styleId="Sadraj1">
    <w:name w:val="toc 1"/>
    <w:basedOn w:val="Normal"/>
    <w:next w:val="Normal"/>
    <w:autoRedefine/>
    <w:uiPriority w:val="39"/>
    <w:unhideWhenUsed/>
    <w:rsid w:val="0091390C"/>
    <w:pPr>
      <w:widowControl/>
      <w:tabs>
        <w:tab w:val="left" w:pos="426"/>
        <w:tab w:val="right" w:leader="dot" w:pos="9628"/>
      </w:tabs>
      <w:autoSpaceDE/>
      <w:autoSpaceDN/>
      <w:adjustRightInd/>
      <w:spacing w:after="100" w:line="259" w:lineRule="auto"/>
      <w:jc w:val="left"/>
    </w:pPr>
    <w:rPr>
      <w:rFonts w:asciiTheme="minorHAnsi" w:eastAsiaTheme="minorEastAsia" w:hAnsiTheme="minorHAnsi"/>
      <w:sz w:val="22"/>
      <w:szCs w:val="22"/>
    </w:rPr>
  </w:style>
  <w:style w:type="character" w:customStyle="1" w:styleId="Style1Char">
    <w:name w:val="Style1 Char"/>
    <w:basedOn w:val="Naslov1Char"/>
    <w:link w:val="Style1"/>
    <w:rsid w:val="00BD6578"/>
    <w:rPr>
      <w:rFonts w:ascii="Times New Roman" w:eastAsiaTheme="majorEastAsia" w:hAnsi="Times New Roman" w:cs="Times New Roman"/>
      <w:color w:val="2E74B5" w:themeColor="accent1" w:themeShade="BF"/>
      <w:sz w:val="28"/>
      <w:szCs w:val="28"/>
      <w:lang w:eastAsia="hr-HR"/>
    </w:rPr>
  </w:style>
  <w:style w:type="paragraph" w:customStyle="1" w:styleId="Default">
    <w:name w:val="Default"/>
    <w:rsid w:val="00E1584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1910">
      <w:bodyDiv w:val="1"/>
      <w:marLeft w:val="0"/>
      <w:marRight w:val="0"/>
      <w:marTop w:val="0"/>
      <w:marBottom w:val="0"/>
      <w:divBdr>
        <w:top w:val="none" w:sz="0" w:space="0" w:color="auto"/>
        <w:left w:val="none" w:sz="0" w:space="0" w:color="auto"/>
        <w:bottom w:val="none" w:sz="0" w:space="0" w:color="auto"/>
        <w:right w:val="none" w:sz="0" w:space="0" w:color="auto"/>
      </w:divBdr>
    </w:div>
    <w:div w:id="37365229">
      <w:bodyDiv w:val="1"/>
      <w:marLeft w:val="0"/>
      <w:marRight w:val="0"/>
      <w:marTop w:val="0"/>
      <w:marBottom w:val="0"/>
      <w:divBdr>
        <w:top w:val="none" w:sz="0" w:space="0" w:color="auto"/>
        <w:left w:val="none" w:sz="0" w:space="0" w:color="auto"/>
        <w:bottom w:val="none" w:sz="0" w:space="0" w:color="auto"/>
        <w:right w:val="none" w:sz="0" w:space="0" w:color="auto"/>
      </w:divBdr>
    </w:div>
    <w:div w:id="64693151">
      <w:bodyDiv w:val="1"/>
      <w:marLeft w:val="0"/>
      <w:marRight w:val="0"/>
      <w:marTop w:val="0"/>
      <w:marBottom w:val="0"/>
      <w:divBdr>
        <w:top w:val="none" w:sz="0" w:space="0" w:color="auto"/>
        <w:left w:val="none" w:sz="0" w:space="0" w:color="auto"/>
        <w:bottom w:val="none" w:sz="0" w:space="0" w:color="auto"/>
        <w:right w:val="none" w:sz="0" w:space="0" w:color="auto"/>
      </w:divBdr>
    </w:div>
    <w:div w:id="71514350">
      <w:bodyDiv w:val="1"/>
      <w:marLeft w:val="0"/>
      <w:marRight w:val="0"/>
      <w:marTop w:val="0"/>
      <w:marBottom w:val="0"/>
      <w:divBdr>
        <w:top w:val="none" w:sz="0" w:space="0" w:color="auto"/>
        <w:left w:val="none" w:sz="0" w:space="0" w:color="auto"/>
        <w:bottom w:val="none" w:sz="0" w:space="0" w:color="auto"/>
        <w:right w:val="none" w:sz="0" w:space="0" w:color="auto"/>
      </w:divBdr>
    </w:div>
    <w:div w:id="230121469">
      <w:bodyDiv w:val="1"/>
      <w:marLeft w:val="0"/>
      <w:marRight w:val="0"/>
      <w:marTop w:val="0"/>
      <w:marBottom w:val="0"/>
      <w:divBdr>
        <w:top w:val="none" w:sz="0" w:space="0" w:color="auto"/>
        <w:left w:val="none" w:sz="0" w:space="0" w:color="auto"/>
        <w:bottom w:val="none" w:sz="0" w:space="0" w:color="auto"/>
        <w:right w:val="none" w:sz="0" w:space="0" w:color="auto"/>
      </w:divBdr>
    </w:div>
    <w:div w:id="267010536">
      <w:bodyDiv w:val="1"/>
      <w:marLeft w:val="0"/>
      <w:marRight w:val="0"/>
      <w:marTop w:val="0"/>
      <w:marBottom w:val="0"/>
      <w:divBdr>
        <w:top w:val="none" w:sz="0" w:space="0" w:color="auto"/>
        <w:left w:val="none" w:sz="0" w:space="0" w:color="auto"/>
        <w:bottom w:val="none" w:sz="0" w:space="0" w:color="auto"/>
        <w:right w:val="none" w:sz="0" w:space="0" w:color="auto"/>
      </w:divBdr>
    </w:div>
    <w:div w:id="269624724">
      <w:bodyDiv w:val="1"/>
      <w:marLeft w:val="0"/>
      <w:marRight w:val="0"/>
      <w:marTop w:val="0"/>
      <w:marBottom w:val="0"/>
      <w:divBdr>
        <w:top w:val="none" w:sz="0" w:space="0" w:color="auto"/>
        <w:left w:val="none" w:sz="0" w:space="0" w:color="auto"/>
        <w:bottom w:val="none" w:sz="0" w:space="0" w:color="auto"/>
        <w:right w:val="none" w:sz="0" w:space="0" w:color="auto"/>
      </w:divBdr>
    </w:div>
    <w:div w:id="364603751">
      <w:bodyDiv w:val="1"/>
      <w:marLeft w:val="0"/>
      <w:marRight w:val="0"/>
      <w:marTop w:val="0"/>
      <w:marBottom w:val="0"/>
      <w:divBdr>
        <w:top w:val="none" w:sz="0" w:space="0" w:color="auto"/>
        <w:left w:val="none" w:sz="0" w:space="0" w:color="auto"/>
        <w:bottom w:val="none" w:sz="0" w:space="0" w:color="auto"/>
        <w:right w:val="none" w:sz="0" w:space="0" w:color="auto"/>
      </w:divBdr>
    </w:div>
    <w:div w:id="370962851">
      <w:bodyDiv w:val="1"/>
      <w:marLeft w:val="0"/>
      <w:marRight w:val="0"/>
      <w:marTop w:val="0"/>
      <w:marBottom w:val="0"/>
      <w:divBdr>
        <w:top w:val="none" w:sz="0" w:space="0" w:color="auto"/>
        <w:left w:val="none" w:sz="0" w:space="0" w:color="auto"/>
        <w:bottom w:val="none" w:sz="0" w:space="0" w:color="auto"/>
        <w:right w:val="none" w:sz="0" w:space="0" w:color="auto"/>
      </w:divBdr>
    </w:div>
    <w:div w:id="395204465">
      <w:bodyDiv w:val="1"/>
      <w:marLeft w:val="0"/>
      <w:marRight w:val="0"/>
      <w:marTop w:val="0"/>
      <w:marBottom w:val="0"/>
      <w:divBdr>
        <w:top w:val="none" w:sz="0" w:space="0" w:color="auto"/>
        <w:left w:val="none" w:sz="0" w:space="0" w:color="auto"/>
        <w:bottom w:val="none" w:sz="0" w:space="0" w:color="auto"/>
        <w:right w:val="none" w:sz="0" w:space="0" w:color="auto"/>
      </w:divBdr>
    </w:div>
    <w:div w:id="434639615">
      <w:bodyDiv w:val="1"/>
      <w:marLeft w:val="0"/>
      <w:marRight w:val="0"/>
      <w:marTop w:val="0"/>
      <w:marBottom w:val="0"/>
      <w:divBdr>
        <w:top w:val="none" w:sz="0" w:space="0" w:color="auto"/>
        <w:left w:val="none" w:sz="0" w:space="0" w:color="auto"/>
        <w:bottom w:val="none" w:sz="0" w:space="0" w:color="auto"/>
        <w:right w:val="none" w:sz="0" w:space="0" w:color="auto"/>
      </w:divBdr>
    </w:div>
    <w:div w:id="508831079">
      <w:bodyDiv w:val="1"/>
      <w:marLeft w:val="0"/>
      <w:marRight w:val="0"/>
      <w:marTop w:val="0"/>
      <w:marBottom w:val="0"/>
      <w:divBdr>
        <w:top w:val="none" w:sz="0" w:space="0" w:color="auto"/>
        <w:left w:val="none" w:sz="0" w:space="0" w:color="auto"/>
        <w:bottom w:val="none" w:sz="0" w:space="0" w:color="auto"/>
        <w:right w:val="none" w:sz="0" w:space="0" w:color="auto"/>
      </w:divBdr>
    </w:div>
    <w:div w:id="517234409">
      <w:bodyDiv w:val="1"/>
      <w:marLeft w:val="0"/>
      <w:marRight w:val="0"/>
      <w:marTop w:val="0"/>
      <w:marBottom w:val="0"/>
      <w:divBdr>
        <w:top w:val="none" w:sz="0" w:space="0" w:color="auto"/>
        <w:left w:val="none" w:sz="0" w:space="0" w:color="auto"/>
        <w:bottom w:val="none" w:sz="0" w:space="0" w:color="auto"/>
        <w:right w:val="none" w:sz="0" w:space="0" w:color="auto"/>
      </w:divBdr>
    </w:div>
    <w:div w:id="529488567">
      <w:bodyDiv w:val="1"/>
      <w:marLeft w:val="0"/>
      <w:marRight w:val="0"/>
      <w:marTop w:val="0"/>
      <w:marBottom w:val="0"/>
      <w:divBdr>
        <w:top w:val="none" w:sz="0" w:space="0" w:color="auto"/>
        <w:left w:val="none" w:sz="0" w:space="0" w:color="auto"/>
        <w:bottom w:val="none" w:sz="0" w:space="0" w:color="auto"/>
        <w:right w:val="none" w:sz="0" w:space="0" w:color="auto"/>
      </w:divBdr>
    </w:div>
    <w:div w:id="617178204">
      <w:bodyDiv w:val="1"/>
      <w:marLeft w:val="0"/>
      <w:marRight w:val="0"/>
      <w:marTop w:val="0"/>
      <w:marBottom w:val="0"/>
      <w:divBdr>
        <w:top w:val="none" w:sz="0" w:space="0" w:color="auto"/>
        <w:left w:val="none" w:sz="0" w:space="0" w:color="auto"/>
        <w:bottom w:val="none" w:sz="0" w:space="0" w:color="auto"/>
        <w:right w:val="none" w:sz="0" w:space="0" w:color="auto"/>
      </w:divBdr>
    </w:div>
    <w:div w:id="632829528">
      <w:bodyDiv w:val="1"/>
      <w:marLeft w:val="0"/>
      <w:marRight w:val="0"/>
      <w:marTop w:val="0"/>
      <w:marBottom w:val="0"/>
      <w:divBdr>
        <w:top w:val="none" w:sz="0" w:space="0" w:color="auto"/>
        <w:left w:val="none" w:sz="0" w:space="0" w:color="auto"/>
        <w:bottom w:val="none" w:sz="0" w:space="0" w:color="auto"/>
        <w:right w:val="none" w:sz="0" w:space="0" w:color="auto"/>
      </w:divBdr>
    </w:div>
    <w:div w:id="651374489">
      <w:bodyDiv w:val="1"/>
      <w:marLeft w:val="0"/>
      <w:marRight w:val="0"/>
      <w:marTop w:val="0"/>
      <w:marBottom w:val="0"/>
      <w:divBdr>
        <w:top w:val="none" w:sz="0" w:space="0" w:color="auto"/>
        <w:left w:val="none" w:sz="0" w:space="0" w:color="auto"/>
        <w:bottom w:val="none" w:sz="0" w:space="0" w:color="auto"/>
        <w:right w:val="none" w:sz="0" w:space="0" w:color="auto"/>
      </w:divBdr>
    </w:div>
    <w:div w:id="732462204">
      <w:bodyDiv w:val="1"/>
      <w:marLeft w:val="0"/>
      <w:marRight w:val="0"/>
      <w:marTop w:val="0"/>
      <w:marBottom w:val="0"/>
      <w:divBdr>
        <w:top w:val="none" w:sz="0" w:space="0" w:color="auto"/>
        <w:left w:val="none" w:sz="0" w:space="0" w:color="auto"/>
        <w:bottom w:val="none" w:sz="0" w:space="0" w:color="auto"/>
        <w:right w:val="none" w:sz="0" w:space="0" w:color="auto"/>
      </w:divBdr>
    </w:div>
    <w:div w:id="749887474">
      <w:bodyDiv w:val="1"/>
      <w:marLeft w:val="0"/>
      <w:marRight w:val="0"/>
      <w:marTop w:val="0"/>
      <w:marBottom w:val="0"/>
      <w:divBdr>
        <w:top w:val="none" w:sz="0" w:space="0" w:color="auto"/>
        <w:left w:val="none" w:sz="0" w:space="0" w:color="auto"/>
        <w:bottom w:val="none" w:sz="0" w:space="0" w:color="auto"/>
        <w:right w:val="none" w:sz="0" w:space="0" w:color="auto"/>
      </w:divBdr>
    </w:div>
    <w:div w:id="786660346">
      <w:bodyDiv w:val="1"/>
      <w:marLeft w:val="0"/>
      <w:marRight w:val="0"/>
      <w:marTop w:val="0"/>
      <w:marBottom w:val="0"/>
      <w:divBdr>
        <w:top w:val="none" w:sz="0" w:space="0" w:color="auto"/>
        <w:left w:val="none" w:sz="0" w:space="0" w:color="auto"/>
        <w:bottom w:val="none" w:sz="0" w:space="0" w:color="auto"/>
        <w:right w:val="none" w:sz="0" w:space="0" w:color="auto"/>
      </w:divBdr>
    </w:div>
    <w:div w:id="829178000">
      <w:bodyDiv w:val="1"/>
      <w:marLeft w:val="0"/>
      <w:marRight w:val="0"/>
      <w:marTop w:val="0"/>
      <w:marBottom w:val="0"/>
      <w:divBdr>
        <w:top w:val="none" w:sz="0" w:space="0" w:color="auto"/>
        <w:left w:val="none" w:sz="0" w:space="0" w:color="auto"/>
        <w:bottom w:val="none" w:sz="0" w:space="0" w:color="auto"/>
        <w:right w:val="none" w:sz="0" w:space="0" w:color="auto"/>
      </w:divBdr>
    </w:div>
    <w:div w:id="835993694">
      <w:bodyDiv w:val="1"/>
      <w:marLeft w:val="0"/>
      <w:marRight w:val="0"/>
      <w:marTop w:val="0"/>
      <w:marBottom w:val="0"/>
      <w:divBdr>
        <w:top w:val="none" w:sz="0" w:space="0" w:color="auto"/>
        <w:left w:val="none" w:sz="0" w:space="0" w:color="auto"/>
        <w:bottom w:val="none" w:sz="0" w:space="0" w:color="auto"/>
        <w:right w:val="none" w:sz="0" w:space="0" w:color="auto"/>
      </w:divBdr>
    </w:div>
    <w:div w:id="840390596">
      <w:bodyDiv w:val="1"/>
      <w:marLeft w:val="0"/>
      <w:marRight w:val="0"/>
      <w:marTop w:val="0"/>
      <w:marBottom w:val="0"/>
      <w:divBdr>
        <w:top w:val="none" w:sz="0" w:space="0" w:color="auto"/>
        <w:left w:val="none" w:sz="0" w:space="0" w:color="auto"/>
        <w:bottom w:val="none" w:sz="0" w:space="0" w:color="auto"/>
        <w:right w:val="none" w:sz="0" w:space="0" w:color="auto"/>
      </w:divBdr>
    </w:div>
    <w:div w:id="845100538">
      <w:bodyDiv w:val="1"/>
      <w:marLeft w:val="0"/>
      <w:marRight w:val="0"/>
      <w:marTop w:val="0"/>
      <w:marBottom w:val="0"/>
      <w:divBdr>
        <w:top w:val="none" w:sz="0" w:space="0" w:color="auto"/>
        <w:left w:val="none" w:sz="0" w:space="0" w:color="auto"/>
        <w:bottom w:val="none" w:sz="0" w:space="0" w:color="auto"/>
        <w:right w:val="none" w:sz="0" w:space="0" w:color="auto"/>
      </w:divBdr>
    </w:div>
    <w:div w:id="860360429">
      <w:bodyDiv w:val="1"/>
      <w:marLeft w:val="0"/>
      <w:marRight w:val="0"/>
      <w:marTop w:val="0"/>
      <w:marBottom w:val="0"/>
      <w:divBdr>
        <w:top w:val="none" w:sz="0" w:space="0" w:color="auto"/>
        <w:left w:val="none" w:sz="0" w:space="0" w:color="auto"/>
        <w:bottom w:val="none" w:sz="0" w:space="0" w:color="auto"/>
        <w:right w:val="none" w:sz="0" w:space="0" w:color="auto"/>
      </w:divBdr>
    </w:div>
    <w:div w:id="928850951">
      <w:bodyDiv w:val="1"/>
      <w:marLeft w:val="0"/>
      <w:marRight w:val="0"/>
      <w:marTop w:val="0"/>
      <w:marBottom w:val="0"/>
      <w:divBdr>
        <w:top w:val="none" w:sz="0" w:space="0" w:color="auto"/>
        <w:left w:val="none" w:sz="0" w:space="0" w:color="auto"/>
        <w:bottom w:val="none" w:sz="0" w:space="0" w:color="auto"/>
        <w:right w:val="none" w:sz="0" w:space="0" w:color="auto"/>
      </w:divBdr>
    </w:div>
    <w:div w:id="996147573">
      <w:bodyDiv w:val="1"/>
      <w:marLeft w:val="0"/>
      <w:marRight w:val="0"/>
      <w:marTop w:val="0"/>
      <w:marBottom w:val="0"/>
      <w:divBdr>
        <w:top w:val="none" w:sz="0" w:space="0" w:color="auto"/>
        <w:left w:val="none" w:sz="0" w:space="0" w:color="auto"/>
        <w:bottom w:val="none" w:sz="0" w:space="0" w:color="auto"/>
        <w:right w:val="none" w:sz="0" w:space="0" w:color="auto"/>
      </w:divBdr>
    </w:div>
    <w:div w:id="996150815">
      <w:bodyDiv w:val="1"/>
      <w:marLeft w:val="0"/>
      <w:marRight w:val="0"/>
      <w:marTop w:val="0"/>
      <w:marBottom w:val="0"/>
      <w:divBdr>
        <w:top w:val="none" w:sz="0" w:space="0" w:color="auto"/>
        <w:left w:val="none" w:sz="0" w:space="0" w:color="auto"/>
        <w:bottom w:val="none" w:sz="0" w:space="0" w:color="auto"/>
        <w:right w:val="none" w:sz="0" w:space="0" w:color="auto"/>
      </w:divBdr>
    </w:div>
    <w:div w:id="1008364448">
      <w:bodyDiv w:val="1"/>
      <w:marLeft w:val="0"/>
      <w:marRight w:val="0"/>
      <w:marTop w:val="0"/>
      <w:marBottom w:val="0"/>
      <w:divBdr>
        <w:top w:val="none" w:sz="0" w:space="0" w:color="auto"/>
        <w:left w:val="none" w:sz="0" w:space="0" w:color="auto"/>
        <w:bottom w:val="none" w:sz="0" w:space="0" w:color="auto"/>
        <w:right w:val="none" w:sz="0" w:space="0" w:color="auto"/>
      </w:divBdr>
    </w:div>
    <w:div w:id="1016810595">
      <w:bodyDiv w:val="1"/>
      <w:marLeft w:val="0"/>
      <w:marRight w:val="0"/>
      <w:marTop w:val="0"/>
      <w:marBottom w:val="0"/>
      <w:divBdr>
        <w:top w:val="none" w:sz="0" w:space="0" w:color="auto"/>
        <w:left w:val="none" w:sz="0" w:space="0" w:color="auto"/>
        <w:bottom w:val="none" w:sz="0" w:space="0" w:color="auto"/>
        <w:right w:val="none" w:sz="0" w:space="0" w:color="auto"/>
      </w:divBdr>
    </w:div>
    <w:div w:id="1050420140">
      <w:bodyDiv w:val="1"/>
      <w:marLeft w:val="0"/>
      <w:marRight w:val="0"/>
      <w:marTop w:val="0"/>
      <w:marBottom w:val="0"/>
      <w:divBdr>
        <w:top w:val="none" w:sz="0" w:space="0" w:color="auto"/>
        <w:left w:val="none" w:sz="0" w:space="0" w:color="auto"/>
        <w:bottom w:val="none" w:sz="0" w:space="0" w:color="auto"/>
        <w:right w:val="none" w:sz="0" w:space="0" w:color="auto"/>
      </w:divBdr>
    </w:div>
    <w:div w:id="1059284996">
      <w:bodyDiv w:val="1"/>
      <w:marLeft w:val="0"/>
      <w:marRight w:val="0"/>
      <w:marTop w:val="0"/>
      <w:marBottom w:val="0"/>
      <w:divBdr>
        <w:top w:val="none" w:sz="0" w:space="0" w:color="auto"/>
        <w:left w:val="none" w:sz="0" w:space="0" w:color="auto"/>
        <w:bottom w:val="none" w:sz="0" w:space="0" w:color="auto"/>
        <w:right w:val="none" w:sz="0" w:space="0" w:color="auto"/>
      </w:divBdr>
    </w:div>
    <w:div w:id="1062212884">
      <w:bodyDiv w:val="1"/>
      <w:marLeft w:val="0"/>
      <w:marRight w:val="0"/>
      <w:marTop w:val="0"/>
      <w:marBottom w:val="0"/>
      <w:divBdr>
        <w:top w:val="none" w:sz="0" w:space="0" w:color="auto"/>
        <w:left w:val="none" w:sz="0" w:space="0" w:color="auto"/>
        <w:bottom w:val="none" w:sz="0" w:space="0" w:color="auto"/>
        <w:right w:val="none" w:sz="0" w:space="0" w:color="auto"/>
      </w:divBdr>
    </w:div>
    <w:div w:id="1192034652">
      <w:bodyDiv w:val="1"/>
      <w:marLeft w:val="0"/>
      <w:marRight w:val="0"/>
      <w:marTop w:val="0"/>
      <w:marBottom w:val="0"/>
      <w:divBdr>
        <w:top w:val="none" w:sz="0" w:space="0" w:color="auto"/>
        <w:left w:val="none" w:sz="0" w:space="0" w:color="auto"/>
        <w:bottom w:val="none" w:sz="0" w:space="0" w:color="auto"/>
        <w:right w:val="none" w:sz="0" w:space="0" w:color="auto"/>
      </w:divBdr>
    </w:div>
    <w:div w:id="1264608832">
      <w:bodyDiv w:val="1"/>
      <w:marLeft w:val="0"/>
      <w:marRight w:val="0"/>
      <w:marTop w:val="0"/>
      <w:marBottom w:val="0"/>
      <w:divBdr>
        <w:top w:val="none" w:sz="0" w:space="0" w:color="auto"/>
        <w:left w:val="none" w:sz="0" w:space="0" w:color="auto"/>
        <w:bottom w:val="none" w:sz="0" w:space="0" w:color="auto"/>
        <w:right w:val="none" w:sz="0" w:space="0" w:color="auto"/>
      </w:divBdr>
    </w:div>
    <w:div w:id="1265117836">
      <w:bodyDiv w:val="1"/>
      <w:marLeft w:val="0"/>
      <w:marRight w:val="0"/>
      <w:marTop w:val="0"/>
      <w:marBottom w:val="0"/>
      <w:divBdr>
        <w:top w:val="none" w:sz="0" w:space="0" w:color="auto"/>
        <w:left w:val="none" w:sz="0" w:space="0" w:color="auto"/>
        <w:bottom w:val="none" w:sz="0" w:space="0" w:color="auto"/>
        <w:right w:val="none" w:sz="0" w:space="0" w:color="auto"/>
      </w:divBdr>
    </w:div>
    <w:div w:id="1300962717">
      <w:bodyDiv w:val="1"/>
      <w:marLeft w:val="0"/>
      <w:marRight w:val="0"/>
      <w:marTop w:val="0"/>
      <w:marBottom w:val="0"/>
      <w:divBdr>
        <w:top w:val="none" w:sz="0" w:space="0" w:color="auto"/>
        <w:left w:val="none" w:sz="0" w:space="0" w:color="auto"/>
        <w:bottom w:val="none" w:sz="0" w:space="0" w:color="auto"/>
        <w:right w:val="none" w:sz="0" w:space="0" w:color="auto"/>
      </w:divBdr>
    </w:div>
    <w:div w:id="1331904256">
      <w:bodyDiv w:val="1"/>
      <w:marLeft w:val="0"/>
      <w:marRight w:val="0"/>
      <w:marTop w:val="0"/>
      <w:marBottom w:val="0"/>
      <w:divBdr>
        <w:top w:val="none" w:sz="0" w:space="0" w:color="auto"/>
        <w:left w:val="none" w:sz="0" w:space="0" w:color="auto"/>
        <w:bottom w:val="none" w:sz="0" w:space="0" w:color="auto"/>
        <w:right w:val="none" w:sz="0" w:space="0" w:color="auto"/>
      </w:divBdr>
    </w:div>
    <w:div w:id="1333876731">
      <w:bodyDiv w:val="1"/>
      <w:marLeft w:val="0"/>
      <w:marRight w:val="0"/>
      <w:marTop w:val="0"/>
      <w:marBottom w:val="0"/>
      <w:divBdr>
        <w:top w:val="none" w:sz="0" w:space="0" w:color="auto"/>
        <w:left w:val="none" w:sz="0" w:space="0" w:color="auto"/>
        <w:bottom w:val="none" w:sz="0" w:space="0" w:color="auto"/>
        <w:right w:val="none" w:sz="0" w:space="0" w:color="auto"/>
      </w:divBdr>
    </w:div>
    <w:div w:id="1336955941">
      <w:bodyDiv w:val="1"/>
      <w:marLeft w:val="0"/>
      <w:marRight w:val="0"/>
      <w:marTop w:val="0"/>
      <w:marBottom w:val="0"/>
      <w:divBdr>
        <w:top w:val="none" w:sz="0" w:space="0" w:color="auto"/>
        <w:left w:val="none" w:sz="0" w:space="0" w:color="auto"/>
        <w:bottom w:val="none" w:sz="0" w:space="0" w:color="auto"/>
        <w:right w:val="none" w:sz="0" w:space="0" w:color="auto"/>
      </w:divBdr>
    </w:div>
    <w:div w:id="1456830171">
      <w:bodyDiv w:val="1"/>
      <w:marLeft w:val="0"/>
      <w:marRight w:val="0"/>
      <w:marTop w:val="0"/>
      <w:marBottom w:val="0"/>
      <w:divBdr>
        <w:top w:val="none" w:sz="0" w:space="0" w:color="auto"/>
        <w:left w:val="none" w:sz="0" w:space="0" w:color="auto"/>
        <w:bottom w:val="none" w:sz="0" w:space="0" w:color="auto"/>
        <w:right w:val="none" w:sz="0" w:space="0" w:color="auto"/>
      </w:divBdr>
    </w:div>
    <w:div w:id="1496414985">
      <w:bodyDiv w:val="1"/>
      <w:marLeft w:val="0"/>
      <w:marRight w:val="0"/>
      <w:marTop w:val="0"/>
      <w:marBottom w:val="0"/>
      <w:divBdr>
        <w:top w:val="none" w:sz="0" w:space="0" w:color="auto"/>
        <w:left w:val="none" w:sz="0" w:space="0" w:color="auto"/>
        <w:bottom w:val="none" w:sz="0" w:space="0" w:color="auto"/>
        <w:right w:val="none" w:sz="0" w:space="0" w:color="auto"/>
      </w:divBdr>
    </w:div>
    <w:div w:id="1518152393">
      <w:bodyDiv w:val="1"/>
      <w:marLeft w:val="0"/>
      <w:marRight w:val="0"/>
      <w:marTop w:val="0"/>
      <w:marBottom w:val="0"/>
      <w:divBdr>
        <w:top w:val="none" w:sz="0" w:space="0" w:color="auto"/>
        <w:left w:val="none" w:sz="0" w:space="0" w:color="auto"/>
        <w:bottom w:val="none" w:sz="0" w:space="0" w:color="auto"/>
        <w:right w:val="none" w:sz="0" w:space="0" w:color="auto"/>
      </w:divBdr>
    </w:div>
    <w:div w:id="1527791734">
      <w:bodyDiv w:val="1"/>
      <w:marLeft w:val="0"/>
      <w:marRight w:val="0"/>
      <w:marTop w:val="0"/>
      <w:marBottom w:val="0"/>
      <w:divBdr>
        <w:top w:val="none" w:sz="0" w:space="0" w:color="auto"/>
        <w:left w:val="none" w:sz="0" w:space="0" w:color="auto"/>
        <w:bottom w:val="none" w:sz="0" w:space="0" w:color="auto"/>
        <w:right w:val="none" w:sz="0" w:space="0" w:color="auto"/>
      </w:divBdr>
    </w:div>
    <w:div w:id="1532303502">
      <w:bodyDiv w:val="1"/>
      <w:marLeft w:val="0"/>
      <w:marRight w:val="0"/>
      <w:marTop w:val="0"/>
      <w:marBottom w:val="0"/>
      <w:divBdr>
        <w:top w:val="none" w:sz="0" w:space="0" w:color="auto"/>
        <w:left w:val="none" w:sz="0" w:space="0" w:color="auto"/>
        <w:bottom w:val="none" w:sz="0" w:space="0" w:color="auto"/>
        <w:right w:val="none" w:sz="0" w:space="0" w:color="auto"/>
      </w:divBdr>
    </w:div>
    <w:div w:id="1549491182">
      <w:bodyDiv w:val="1"/>
      <w:marLeft w:val="0"/>
      <w:marRight w:val="0"/>
      <w:marTop w:val="0"/>
      <w:marBottom w:val="0"/>
      <w:divBdr>
        <w:top w:val="none" w:sz="0" w:space="0" w:color="auto"/>
        <w:left w:val="none" w:sz="0" w:space="0" w:color="auto"/>
        <w:bottom w:val="none" w:sz="0" w:space="0" w:color="auto"/>
        <w:right w:val="none" w:sz="0" w:space="0" w:color="auto"/>
      </w:divBdr>
    </w:div>
    <w:div w:id="1630889937">
      <w:bodyDiv w:val="1"/>
      <w:marLeft w:val="0"/>
      <w:marRight w:val="0"/>
      <w:marTop w:val="0"/>
      <w:marBottom w:val="0"/>
      <w:divBdr>
        <w:top w:val="none" w:sz="0" w:space="0" w:color="auto"/>
        <w:left w:val="none" w:sz="0" w:space="0" w:color="auto"/>
        <w:bottom w:val="none" w:sz="0" w:space="0" w:color="auto"/>
        <w:right w:val="none" w:sz="0" w:space="0" w:color="auto"/>
      </w:divBdr>
    </w:div>
    <w:div w:id="1652520922">
      <w:bodyDiv w:val="1"/>
      <w:marLeft w:val="0"/>
      <w:marRight w:val="0"/>
      <w:marTop w:val="0"/>
      <w:marBottom w:val="0"/>
      <w:divBdr>
        <w:top w:val="none" w:sz="0" w:space="0" w:color="auto"/>
        <w:left w:val="none" w:sz="0" w:space="0" w:color="auto"/>
        <w:bottom w:val="none" w:sz="0" w:space="0" w:color="auto"/>
        <w:right w:val="none" w:sz="0" w:space="0" w:color="auto"/>
      </w:divBdr>
    </w:div>
    <w:div w:id="1663200459">
      <w:bodyDiv w:val="1"/>
      <w:marLeft w:val="0"/>
      <w:marRight w:val="0"/>
      <w:marTop w:val="0"/>
      <w:marBottom w:val="0"/>
      <w:divBdr>
        <w:top w:val="none" w:sz="0" w:space="0" w:color="auto"/>
        <w:left w:val="none" w:sz="0" w:space="0" w:color="auto"/>
        <w:bottom w:val="none" w:sz="0" w:space="0" w:color="auto"/>
        <w:right w:val="none" w:sz="0" w:space="0" w:color="auto"/>
      </w:divBdr>
    </w:div>
    <w:div w:id="1677032662">
      <w:bodyDiv w:val="1"/>
      <w:marLeft w:val="0"/>
      <w:marRight w:val="0"/>
      <w:marTop w:val="0"/>
      <w:marBottom w:val="0"/>
      <w:divBdr>
        <w:top w:val="none" w:sz="0" w:space="0" w:color="auto"/>
        <w:left w:val="none" w:sz="0" w:space="0" w:color="auto"/>
        <w:bottom w:val="none" w:sz="0" w:space="0" w:color="auto"/>
        <w:right w:val="none" w:sz="0" w:space="0" w:color="auto"/>
      </w:divBdr>
    </w:div>
    <w:div w:id="1719015977">
      <w:bodyDiv w:val="1"/>
      <w:marLeft w:val="0"/>
      <w:marRight w:val="0"/>
      <w:marTop w:val="0"/>
      <w:marBottom w:val="0"/>
      <w:divBdr>
        <w:top w:val="none" w:sz="0" w:space="0" w:color="auto"/>
        <w:left w:val="none" w:sz="0" w:space="0" w:color="auto"/>
        <w:bottom w:val="none" w:sz="0" w:space="0" w:color="auto"/>
        <w:right w:val="none" w:sz="0" w:space="0" w:color="auto"/>
      </w:divBdr>
    </w:div>
    <w:div w:id="1723291386">
      <w:bodyDiv w:val="1"/>
      <w:marLeft w:val="0"/>
      <w:marRight w:val="0"/>
      <w:marTop w:val="0"/>
      <w:marBottom w:val="0"/>
      <w:divBdr>
        <w:top w:val="none" w:sz="0" w:space="0" w:color="auto"/>
        <w:left w:val="none" w:sz="0" w:space="0" w:color="auto"/>
        <w:bottom w:val="none" w:sz="0" w:space="0" w:color="auto"/>
        <w:right w:val="none" w:sz="0" w:space="0" w:color="auto"/>
      </w:divBdr>
    </w:div>
    <w:div w:id="1729915331">
      <w:bodyDiv w:val="1"/>
      <w:marLeft w:val="0"/>
      <w:marRight w:val="0"/>
      <w:marTop w:val="0"/>
      <w:marBottom w:val="0"/>
      <w:divBdr>
        <w:top w:val="none" w:sz="0" w:space="0" w:color="auto"/>
        <w:left w:val="none" w:sz="0" w:space="0" w:color="auto"/>
        <w:bottom w:val="none" w:sz="0" w:space="0" w:color="auto"/>
        <w:right w:val="none" w:sz="0" w:space="0" w:color="auto"/>
      </w:divBdr>
    </w:div>
    <w:div w:id="1731491946">
      <w:bodyDiv w:val="1"/>
      <w:marLeft w:val="0"/>
      <w:marRight w:val="0"/>
      <w:marTop w:val="0"/>
      <w:marBottom w:val="0"/>
      <w:divBdr>
        <w:top w:val="none" w:sz="0" w:space="0" w:color="auto"/>
        <w:left w:val="none" w:sz="0" w:space="0" w:color="auto"/>
        <w:bottom w:val="none" w:sz="0" w:space="0" w:color="auto"/>
        <w:right w:val="none" w:sz="0" w:space="0" w:color="auto"/>
      </w:divBdr>
    </w:div>
    <w:div w:id="1759058410">
      <w:bodyDiv w:val="1"/>
      <w:marLeft w:val="0"/>
      <w:marRight w:val="0"/>
      <w:marTop w:val="0"/>
      <w:marBottom w:val="0"/>
      <w:divBdr>
        <w:top w:val="none" w:sz="0" w:space="0" w:color="auto"/>
        <w:left w:val="none" w:sz="0" w:space="0" w:color="auto"/>
        <w:bottom w:val="none" w:sz="0" w:space="0" w:color="auto"/>
        <w:right w:val="none" w:sz="0" w:space="0" w:color="auto"/>
      </w:divBdr>
    </w:div>
    <w:div w:id="1759864891">
      <w:bodyDiv w:val="1"/>
      <w:marLeft w:val="0"/>
      <w:marRight w:val="0"/>
      <w:marTop w:val="0"/>
      <w:marBottom w:val="0"/>
      <w:divBdr>
        <w:top w:val="none" w:sz="0" w:space="0" w:color="auto"/>
        <w:left w:val="none" w:sz="0" w:space="0" w:color="auto"/>
        <w:bottom w:val="none" w:sz="0" w:space="0" w:color="auto"/>
        <w:right w:val="none" w:sz="0" w:space="0" w:color="auto"/>
      </w:divBdr>
    </w:div>
    <w:div w:id="1785877937">
      <w:bodyDiv w:val="1"/>
      <w:marLeft w:val="0"/>
      <w:marRight w:val="0"/>
      <w:marTop w:val="0"/>
      <w:marBottom w:val="0"/>
      <w:divBdr>
        <w:top w:val="none" w:sz="0" w:space="0" w:color="auto"/>
        <w:left w:val="none" w:sz="0" w:space="0" w:color="auto"/>
        <w:bottom w:val="none" w:sz="0" w:space="0" w:color="auto"/>
        <w:right w:val="none" w:sz="0" w:space="0" w:color="auto"/>
      </w:divBdr>
    </w:div>
    <w:div w:id="1791120097">
      <w:bodyDiv w:val="1"/>
      <w:marLeft w:val="0"/>
      <w:marRight w:val="0"/>
      <w:marTop w:val="0"/>
      <w:marBottom w:val="0"/>
      <w:divBdr>
        <w:top w:val="none" w:sz="0" w:space="0" w:color="auto"/>
        <w:left w:val="none" w:sz="0" w:space="0" w:color="auto"/>
        <w:bottom w:val="none" w:sz="0" w:space="0" w:color="auto"/>
        <w:right w:val="none" w:sz="0" w:space="0" w:color="auto"/>
      </w:divBdr>
    </w:div>
    <w:div w:id="1807702272">
      <w:bodyDiv w:val="1"/>
      <w:marLeft w:val="0"/>
      <w:marRight w:val="0"/>
      <w:marTop w:val="0"/>
      <w:marBottom w:val="0"/>
      <w:divBdr>
        <w:top w:val="none" w:sz="0" w:space="0" w:color="auto"/>
        <w:left w:val="none" w:sz="0" w:space="0" w:color="auto"/>
        <w:bottom w:val="none" w:sz="0" w:space="0" w:color="auto"/>
        <w:right w:val="none" w:sz="0" w:space="0" w:color="auto"/>
      </w:divBdr>
    </w:div>
    <w:div w:id="1884053809">
      <w:bodyDiv w:val="1"/>
      <w:marLeft w:val="0"/>
      <w:marRight w:val="0"/>
      <w:marTop w:val="0"/>
      <w:marBottom w:val="0"/>
      <w:divBdr>
        <w:top w:val="none" w:sz="0" w:space="0" w:color="auto"/>
        <w:left w:val="none" w:sz="0" w:space="0" w:color="auto"/>
        <w:bottom w:val="none" w:sz="0" w:space="0" w:color="auto"/>
        <w:right w:val="none" w:sz="0" w:space="0" w:color="auto"/>
      </w:divBdr>
    </w:div>
    <w:div w:id="1896773975">
      <w:bodyDiv w:val="1"/>
      <w:marLeft w:val="0"/>
      <w:marRight w:val="0"/>
      <w:marTop w:val="0"/>
      <w:marBottom w:val="0"/>
      <w:divBdr>
        <w:top w:val="none" w:sz="0" w:space="0" w:color="auto"/>
        <w:left w:val="none" w:sz="0" w:space="0" w:color="auto"/>
        <w:bottom w:val="none" w:sz="0" w:space="0" w:color="auto"/>
        <w:right w:val="none" w:sz="0" w:space="0" w:color="auto"/>
      </w:divBdr>
    </w:div>
    <w:div w:id="1949048790">
      <w:bodyDiv w:val="1"/>
      <w:marLeft w:val="0"/>
      <w:marRight w:val="0"/>
      <w:marTop w:val="0"/>
      <w:marBottom w:val="0"/>
      <w:divBdr>
        <w:top w:val="none" w:sz="0" w:space="0" w:color="auto"/>
        <w:left w:val="none" w:sz="0" w:space="0" w:color="auto"/>
        <w:bottom w:val="none" w:sz="0" w:space="0" w:color="auto"/>
        <w:right w:val="none" w:sz="0" w:space="0" w:color="auto"/>
      </w:divBdr>
    </w:div>
    <w:div w:id="1974485395">
      <w:bodyDiv w:val="1"/>
      <w:marLeft w:val="0"/>
      <w:marRight w:val="0"/>
      <w:marTop w:val="0"/>
      <w:marBottom w:val="0"/>
      <w:divBdr>
        <w:top w:val="none" w:sz="0" w:space="0" w:color="auto"/>
        <w:left w:val="none" w:sz="0" w:space="0" w:color="auto"/>
        <w:bottom w:val="none" w:sz="0" w:space="0" w:color="auto"/>
        <w:right w:val="none" w:sz="0" w:space="0" w:color="auto"/>
      </w:divBdr>
    </w:div>
    <w:div w:id="2011759348">
      <w:bodyDiv w:val="1"/>
      <w:marLeft w:val="0"/>
      <w:marRight w:val="0"/>
      <w:marTop w:val="0"/>
      <w:marBottom w:val="0"/>
      <w:divBdr>
        <w:top w:val="none" w:sz="0" w:space="0" w:color="auto"/>
        <w:left w:val="none" w:sz="0" w:space="0" w:color="auto"/>
        <w:bottom w:val="none" w:sz="0" w:space="0" w:color="auto"/>
        <w:right w:val="none" w:sz="0" w:space="0" w:color="auto"/>
      </w:divBdr>
    </w:div>
    <w:div w:id="2104253697">
      <w:bodyDiv w:val="1"/>
      <w:marLeft w:val="0"/>
      <w:marRight w:val="0"/>
      <w:marTop w:val="0"/>
      <w:marBottom w:val="0"/>
      <w:divBdr>
        <w:top w:val="none" w:sz="0" w:space="0" w:color="auto"/>
        <w:left w:val="none" w:sz="0" w:space="0" w:color="auto"/>
        <w:bottom w:val="none" w:sz="0" w:space="0" w:color="auto"/>
        <w:right w:val="none" w:sz="0" w:space="0" w:color="auto"/>
      </w:divBdr>
    </w:div>
    <w:div w:id="21445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0ECBF-C247-4555-A422-4668C9ED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8217</Words>
  <Characters>46837</Characters>
  <Application>Microsoft Office Word</Application>
  <DocSecurity>0</DocSecurity>
  <Lines>390</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Korazija</dc:creator>
  <cp:lastModifiedBy>Josipa Maraković</cp:lastModifiedBy>
  <cp:revision>68</cp:revision>
  <cp:lastPrinted>2024-03-22T13:48:00Z</cp:lastPrinted>
  <dcterms:created xsi:type="dcterms:W3CDTF">2024-03-27T12:25:00Z</dcterms:created>
  <dcterms:modified xsi:type="dcterms:W3CDTF">2024-04-03T11:11:00Z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20b769388a9158edffbd64bf67f6471a50aead2745a6a5eedb03ca85e7712f89</vt:lpwstr>
  </property>
</Properties>
</file>